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52B41" w:rsidRDefault="00587045" w:rsidP="00587045">
      <w:pPr>
        <w:pStyle w:val="Heading1"/>
      </w:pPr>
      <w:r>
        <w:t>Energy Duck</w:t>
      </w:r>
    </w:p>
    <w:p w:rsidR="00604060" w:rsidRDefault="00265BAD" w:rsidP="00604060">
      <w:pPr>
        <w:pStyle w:val="Heading2"/>
        <w:numPr>
          <w:ilvl w:val="0"/>
          <w:numId w:val="0"/>
        </w:numPr>
        <w:ind w:left="360" w:hanging="360"/>
      </w:pPr>
      <w:r>
        <w:t>S</w:t>
      </w:r>
      <w:r w:rsidR="00604060">
        <w:t>o much more than just a duck</w:t>
      </w:r>
    </w:p>
    <w:p w:rsidR="00587045" w:rsidRDefault="00587045" w:rsidP="00587045">
      <w:r>
        <w:t>Energy Duck is an entertaining</w:t>
      </w:r>
      <w:r w:rsidR="00604060">
        <w:t>,</w:t>
      </w:r>
      <w:r>
        <w:t xml:space="preserve"> iconic sculpture; a celebration of local wildlife; a renewable energy generator, store and exporter; a habitable destination and a city scale information beacon.</w:t>
      </w:r>
    </w:p>
    <w:p w:rsidR="00587045" w:rsidRDefault="00587045" w:rsidP="00587045">
      <w:r>
        <w:t xml:space="preserve">The common eider duck is resident in great numbers in </w:t>
      </w:r>
      <w:proofErr w:type="gramStart"/>
      <w:r>
        <w:t>Copenhagen,</w:t>
      </w:r>
      <w:proofErr w:type="gramEnd"/>
      <w:r>
        <w:t xml:space="preserve"> however its breeding habitat is at risk from the effects of climate change</w:t>
      </w:r>
      <w:r w:rsidR="00FD7811">
        <w:rPr>
          <w:rStyle w:val="FootnoteReference"/>
        </w:rPr>
        <w:footnoteReference w:id="1"/>
      </w:r>
      <w:r w:rsidR="00FD7811">
        <w:t xml:space="preserve"> </w:t>
      </w:r>
      <w:r>
        <w:t>. Energy Duck takes the form of the eider to act both as a solar collector and a buoyant energy store.</w:t>
      </w:r>
    </w:p>
    <w:p w:rsidR="00587045" w:rsidRDefault="00587045" w:rsidP="00587045">
      <w:r>
        <w:t xml:space="preserve">Solar radiation is converted to electricity using low cost, off the shelf PV panels. Some of the solar electricity is stored in the form of gravitational potential energy via water pressure.  At night, when there is no solar radiation the water pressure can be released  through hydro turbines within the duck’s belly providing renewable electricity at all times. The floating height of the duck is an indicator of the amount of city wide energy use relative to the renewable generation.    </w:t>
      </w:r>
    </w:p>
    <w:p w:rsidR="00587045" w:rsidRDefault="00587045" w:rsidP="00587045">
      <w:r>
        <w:t xml:space="preserve">Often the prospective negative environmental effects of climate change, brought about by excessive C02 emissions can seem a removed and distant issue. Energy Duck frames the issue of climate change, ecology and the importance of renewable energy in a local context.  </w:t>
      </w:r>
    </w:p>
    <w:p w:rsidR="008E638E" w:rsidRDefault="00E001AC" w:rsidP="00587045">
      <w:r>
        <w:t xml:space="preserve">Energy duck is certainly a spectacle to behold. Equal in height to a 12 storey building the duck offers the city of Copenhagen unique experiences from afar, from near and from within. </w:t>
      </w:r>
    </w:p>
    <w:p w:rsidR="00265BAD" w:rsidRDefault="00265BAD" w:rsidP="00265BAD">
      <w:pPr>
        <w:pStyle w:val="Heading2"/>
        <w:numPr>
          <w:ilvl w:val="0"/>
          <w:numId w:val="0"/>
        </w:numPr>
        <w:ind w:left="360" w:hanging="360"/>
      </w:pPr>
      <w:r>
        <w:t>Addressing the needs of a renewable energy future</w:t>
      </w:r>
      <w:r w:rsidR="001E5C08">
        <w:t xml:space="preserve"> through fun</w:t>
      </w:r>
    </w:p>
    <w:p w:rsidR="008E638E" w:rsidRDefault="008E638E" w:rsidP="008E638E">
      <w:r>
        <w:t xml:space="preserve">Copenhagen </w:t>
      </w:r>
      <w:r w:rsidR="00676E7E">
        <w:t xml:space="preserve">has the </w:t>
      </w:r>
      <w:r>
        <w:t xml:space="preserve">admirable aim of becoming carbon neutral by 2025. To achieve such a low carbon future requires a </w:t>
      </w:r>
      <w:r w:rsidR="00676E7E">
        <w:t>city scale transition to renewable</w:t>
      </w:r>
      <w:r>
        <w:t xml:space="preserve"> electricity. At this scale, due to the inherent intermittency of renewable energy sources it is essential to be able to store energy and release it as electricity at a later time when the wind is not blowing or the sun is not shining.</w:t>
      </w:r>
    </w:p>
    <w:p w:rsidR="008E638E" w:rsidRDefault="008E638E" w:rsidP="008E638E">
      <w:r>
        <w:t>Energy duck stores solar energy by making use of its floating nature. Energy is stored by virtue of the difference in water heights inside and outside the duck. Solar energy used to pump water out of the duck and buoyancy brings it to the surface. When stored energy is required to be delivered</w:t>
      </w:r>
      <w:r w:rsidR="00B83614">
        <w:t>,</w:t>
      </w:r>
      <w:r>
        <w:t xml:space="preserve"> the duck is flooded through one or more hydro turbines to generate electricity which is transmitted to the national grid by the same route as the PV panel generated electricity. Energy </w:t>
      </w:r>
      <w:r w:rsidR="00B83614">
        <w:t>D</w:t>
      </w:r>
      <w:r>
        <w:t>uck can be used to cover short term fluctuations (e.g. cloud cover) for hundreds of houses or long term (a few days) demands of around fifty houses.</w:t>
      </w:r>
    </w:p>
    <w:p w:rsidR="001E5C08" w:rsidRDefault="00B83614" w:rsidP="008E638E">
      <w:r>
        <w:t xml:space="preserve">We have undertaken computer modelling of the proposed Energy Duck to simulate the effects of variable solar radiation and variable demand. </w:t>
      </w:r>
      <w:r w:rsidR="001E5C08">
        <w:t xml:space="preserve">The results of the modelling show that annually we expect the duck to generate 400 000 kWh of electricity.  </w:t>
      </w:r>
      <w:r w:rsidR="001755B2">
        <w:t>Copenhagen’s 2025 plan states a target of 1000kWh/person/</w:t>
      </w:r>
      <w:proofErr w:type="spellStart"/>
      <w:r w:rsidR="001755B2">
        <w:t>yr</w:t>
      </w:r>
      <w:proofErr w:type="spellEnd"/>
      <w:r w:rsidR="001755B2">
        <w:t xml:space="preserve"> and on average Copenhageners live 2.5 people to a house. So that’s enough annual energy for around 160 houses.  </w:t>
      </w:r>
      <w:r w:rsidR="001E5C08">
        <w:t xml:space="preserve">Of equal importance is the pairing with the energy store which allows the electricity to be delivered when it is needed. </w:t>
      </w:r>
      <w:r w:rsidR="00D7781A">
        <w:t xml:space="preserve"> The embodied energy is predicted to be equivalent to about 15 </w:t>
      </w:r>
      <w:proofErr w:type="spellStart"/>
      <w:r w:rsidR="00D7781A">
        <w:t>years worth</w:t>
      </w:r>
      <w:proofErr w:type="spellEnd"/>
      <w:r w:rsidR="00D7781A">
        <w:t xml:space="preserve"> of generation, that is, 6000MWhr. This may seem high but it is comparable with other generation and storage techniques. </w:t>
      </w:r>
    </w:p>
    <w:p w:rsidR="008E638E" w:rsidRDefault="008E638E" w:rsidP="008E638E">
      <w:r>
        <w:t xml:space="preserve">At night the duck is lit with very low power colour changing LED lamps. </w:t>
      </w:r>
      <w:r w:rsidR="00FF5AE0">
        <w:t>The colour</w:t>
      </w:r>
      <w:r>
        <w:t xml:space="preserve"> pattern undulates with a rhythm proportional to the output of the hydro turbines.</w:t>
      </w:r>
    </w:p>
    <w:p w:rsidR="001755B2" w:rsidRDefault="00710EA6" w:rsidP="001755B2">
      <w:pPr>
        <w:pStyle w:val="Heading2"/>
        <w:numPr>
          <w:ilvl w:val="0"/>
          <w:numId w:val="0"/>
        </w:numPr>
      </w:pPr>
      <w:r>
        <w:t xml:space="preserve">How to make </w:t>
      </w:r>
      <w:r w:rsidR="0020711C">
        <w:t>a giant duck</w:t>
      </w:r>
    </w:p>
    <w:p w:rsidR="00676E7E" w:rsidRDefault="00C85C92" w:rsidP="00676E7E">
      <w:proofErr w:type="gramStart"/>
      <w:r>
        <w:t>A lightweight steel</w:t>
      </w:r>
      <w:r w:rsidR="00676E7E">
        <w:t xml:space="preserve"> space frame </w:t>
      </w:r>
      <w:r>
        <w:t>makes up the duck volume and define</w:t>
      </w:r>
      <w:proofErr w:type="gramEnd"/>
      <w:r>
        <w:t xml:space="preserve"> its shape. Very light weight steels support the</w:t>
      </w:r>
      <w:r w:rsidR="00676E7E">
        <w:t xml:space="preserve"> PV panels and the dummy panels. The skin is not water tight, it doesn’t need to be.</w:t>
      </w:r>
      <w:r w:rsidR="00205284">
        <w:t xml:space="preserve"> </w:t>
      </w:r>
      <w:r w:rsidR="00205284" w:rsidRPr="00205284">
        <w:t xml:space="preserve">Internal sheltered spaces </w:t>
      </w:r>
      <w:r w:rsidR="00205284">
        <w:t>can be formed inside the frame by</w:t>
      </w:r>
      <w:r w:rsidR="00205284" w:rsidRPr="00205284">
        <w:t xml:space="preserve"> </w:t>
      </w:r>
      <w:proofErr w:type="spellStart"/>
      <w:r w:rsidR="00205284">
        <w:t>ETFE</w:t>
      </w:r>
      <w:proofErr w:type="spellEnd"/>
      <w:r w:rsidR="00205284">
        <w:t xml:space="preserve"> transparent membranes.</w:t>
      </w:r>
      <w:r w:rsidR="006069CE">
        <w:t xml:space="preserve"> The energy store is formed using the established technique used in vast water storage sectional tanks with internal steel bracing. These </w:t>
      </w:r>
      <w:r w:rsidR="006069CE">
        <w:lastRenderedPageBreak/>
        <w:t xml:space="preserve">tanks are ubiquities thought out the world can withstand high pressures and are typically constructed from </w:t>
      </w:r>
      <w:proofErr w:type="spellStart"/>
      <w:r w:rsidR="006069CE">
        <w:t>GRP</w:t>
      </w:r>
      <w:proofErr w:type="spellEnd"/>
      <w:r w:rsidR="006069CE">
        <w:t>, which has recently become much more readily recyclable.</w:t>
      </w:r>
    </w:p>
    <w:p w:rsidR="001E5C08" w:rsidRDefault="001E5C08" w:rsidP="00676E7E">
      <w:r>
        <w:t xml:space="preserve">PV panels are only applied to the areas that receive a good amount of solar radiation (which is most of the duck’s upper half). The remainder of the duck is clad with cheap, lightweight dummy panels, which could be made from recycled plastic. </w:t>
      </w:r>
      <w:r w:rsidR="00AE390A">
        <w:t xml:space="preserve">Modelling shows that even with the panels orientated </w:t>
      </w:r>
      <w:proofErr w:type="spellStart"/>
      <w:r w:rsidR="00AE390A">
        <w:t>duckwise</w:t>
      </w:r>
      <w:proofErr w:type="spellEnd"/>
      <w:r w:rsidR="00AE390A">
        <w:t>, the energy yield is 75% of that of a fully optimised solar farm on the same site.</w:t>
      </w:r>
      <w:r>
        <w:t xml:space="preserve">  </w:t>
      </w:r>
    </w:p>
    <w:p w:rsidR="00676E7E" w:rsidRDefault="00676E7E" w:rsidP="00676E7E">
      <w:r>
        <w:t xml:space="preserve">Visitors inside the duck move through an enormous honeycomb mesh of light weight steel. Views upward </w:t>
      </w:r>
      <w:r w:rsidR="00205284">
        <w:t>reveal</w:t>
      </w:r>
      <w:r>
        <w:t xml:space="preserve"> the </w:t>
      </w:r>
      <w:r w:rsidR="00205284">
        <w:t xml:space="preserve">striking pattern of a mesh of </w:t>
      </w:r>
      <w:r>
        <w:t xml:space="preserve">PV panels </w:t>
      </w:r>
      <w:r w:rsidR="00205284">
        <w:t>in silhouette, backlit by daylight streaming in through the air gaps.   Looking downward allow</w:t>
      </w:r>
      <w:r w:rsidR="0089052E">
        <w:t>s one to see</w:t>
      </w:r>
      <w:r w:rsidR="00205284">
        <w:t xml:space="preserve"> </w:t>
      </w:r>
      <w:r w:rsidR="0089052E">
        <w:t xml:space="preserve">sea </w:t>
      </w:r>
      <w:r w:rsidR="00205284">
        <w:t xml:space="preserve">water </w:t>
      </w:r>
      <w:r w:rsidR="00B83614">
        <w:t xml:space="preserve">rising and falling within the </w:t>
      </w:r>
      <w:r w:rsidR="00205284">
        <w:t>pressure storage tanks.</w:t>
      </w:r>
      <w:r w:rsidR="00B83614">
        <w:t xml:space="preserve"> When the duck is pumped out</w:t>
      </w:r>
      <w:r w:rsidR="005138E5">
        <w:t>, in addition to providing automatic cleaning to the PV panels</w:t>
      </w:r>
      <w:r w:rsidR="00B83614">
        <w:t xml:space="preserve"> all manner of fu</w:t>
      </w:r>
      <w:r w:rsidR="0089052E">
        <w:t>n</w:t>
      </w:r>
      <w:r w:rsidR="00B83614">
        <w:t xml:space="preserve"> and interesting things coul</w:t>
      </w:r>
      <w:r w:rsidR="00371E91">
        <w:t>d be done with the ensuing water spouts</w:t>
      </w:r>
      <w:r w:rsidR="00B83614">
        <w:t xml:space="preserve">. </w:t>
      </w:r>
      <w:r w:rsidR="00205284">
        <w:t xml:space="preserve"> </w:t>
      </w:r>
    </w:p>
    <w:p w:rsidR="001562D6" w:rsidRDefault="001562D6" w:rsidP="00676E7E"/>
    <w:tbl>
      <w:tblPr>
        <w:tblStyle w:val="TableGrid"/>
        <w:tblW w:w="0" w:type="auto"/>
        <w:tblLook w:val="04A0" w:firstRow="1" w:lastRow="0" w:firstColumn="1" w:lastColumn="0" w:noHBand="0" w:noVBand="1"/>
      </w:tblPr>
      <w:tblGrid>
        <w:gridCol w:w="1270"/>
        <w:gridCol w:w="993"/>
        <w:gridCol w:w="671"/>
        <w:gridCol w:w="930"/>
        <w:gridCol w:w="1084"/>
        <w:gridCol w:w="1064"/>
        <w:gridCol w:w="758"/>
        <w:gridCol w:w="1275"/>
        <w:gridCol w:w="1084"/>
      </w:tblGrid>
      <w:tr w:rsidR="001562D6" w:rsidRPr="0012086D" w:rsidTr="001562D6">
        <w:trPr>
          <w:cnfStyle w:val="100000000000" w:firstRow="1" w:lastRow="0" w:firstColumn="0" w:lastColumn="0" w:oddVBand="0" w:evenVBand="0" w:oddHBand="0" w:evenHBand="0" w:firstRowFirstColumn="0" w:firstRowLastColumn="0" w:lastRowFirstColumn="0" w:lastRowLastColumn="0"/>
          <w:trHeight w:val="301"/>
        </w:trPr>
        <w:tc>
          <w:tcPr>
            <w:tcW w:w="9129" w:type="dxa"/>
            <w:gridSpan w:val="9"/>
            <w:hideMark/>
          </w:tcPr>
          <w:p w:rsidR="001562D6" w:rsidRPr="004776EF" w:rsidRDefault="001562D6">
            <w:pPr>
              <w:rPr>
                <w:sz w:val="18"/>
              </w:rPr>
            </w:pPr>
            <w:r w:rsidRPr="004776EF">
              <w:rPr>
                <w:bCs/>
                <w:sz w:val="18"/>
              </w:rPr>
              <w:t>Materials List, Costs and Embodied Energy</w:t>
            </w:r>
          </w:p>
        </w:tc>
      </w:tr>
      <w:tr w:rsidR="004776EF" w:rsidRPr="0012086D" w:rsidTr="001562D6">
        <w:trPr>
          <w:trHeight w:val="900"/>
        </w:trPr>
        <w:tc>
          <w:tcPr>
            <w:tcW w:w="1270" w:type="dxa"/>
            <w:hideMark/>
          </w:tcPr>
          <w:p w:rsidR="0012086D" w:rsidRPr="004776EF" w:rsidRDefault="0012086D">
            <w:pPr>
              <w:rPr>
                <w:b/>
                <w:sz w:val="18"/>
              </w:rPr>
            </w:pPr>
            <w:r w:rsidRPr="004776EF">
              <w:rPr>
                <w:b/>
                <w:sz w:val="18"/>
              </w:rPr>
              <w:t>item</w:t>
            </w:r>
          </w:p>
        </w:tc>
        <w:tc>
          <w:tcPr>
            <w:tcW w:w="993" w:type="dxa"/>
            <w:noWrap/>
            <w:hideMark/>
          </w:tcPr>
          <w:p w:rsidR="0012086D" w:rsidRPr="004776EF" w:rsidRDefault="0012086D">
            <w:pPr>
              <w:rPr>
                <w:b/>
                <w:sz w:val="18"/>
              </w:rPr>
            </w:pPr>
            <w:r w:rsidRPr="004776EF">
              <w:rPr>
                <w:b/>
                <w:sz w:val="18"/>
              </w:rPr>
              <w:t>quantity</w:t>
            </w:r>
          </w:p>
        </w:tc>
        <w:tc>
          <w:tcPr>
            <w:tcW w:w="671" w:type="dxa"/>
            <w:noWrap/>
            <w:hideMark/>
          </w:tcPr>
          <w:p w:rsidR="0012086D" w:rsidRPr="004776EF" w:rsidRDefault="0012086D">
            <w:pPr>
              <w:rPr>
                <w:b/>
                <w:sz w:val="18"/>
              </w:rPr>
            </w:pPr>
            <w:r w:rsidRPr="004776EF">
              <w:rPr>
                <w:b/>
                <w:sz w:val="18"/>
              </w:rPr>
              <w:t>unit</w:t>
            </w:r>
          </w:p>
        </w:tc>
        <w:tc>
          <w:tcPr>
            <w:tcW w:w="930" w:type="dxa"/>
            <w:hideMark/>
          </w:tcPr>
          <w:p w:rsidR="0012086D" w:rsidRPr="004776EF" w:rsidRDefault="0012086D">
            <w:pPr>
              <w:rPr>
                <w:b/>
                <w:sz w:val="18"/>
              </w:rPr>
            </w:pPr>
            <w:r w:rsidRPr="004776EF">
              <w:rPr>
                <w:b/>
                <w:sz w:val="18"/>
              </w:rPr>
              <w:t>cost rate (£/unit)</w:t>
            </w:r>
          </w:p>
        </w:tc>
        <w:tc>
          <w:tcPr>
            <w:tcW w:w="1084" w:type="dxa"/>
            <w:noWrap/>
            <w:hideMark/>
          </w:tcPr>
          <w:p w:rsidR="0012086D" w:rsidRPr="004776EF" w:rsidRDefault="0012086D">
            <w:pPr>
              <w:rPr>
                <w:b/>
                <w:sz w:val="18"/>
              </w:rPr>
            </w:pPr>
            <w:r w:rsidRPr="004776EF">
              <w:rPr>
                <w:b/>
                <w:sz w:val="18"/>
              </w:rPr>
              <w:t>cost (£)</w:t>
            </w:r>
          </w:p>
        </w:tc>
        <w:tc>
          <w:tcPr>
            <w:tcW w:w="1064" w:type="dxa"/>
            <w:hideMark/>
          </w:tcPr>
          <w:p w:rsidR="0012086D" w:rsidRPr="004776EF" w:rsidRDefault="0012086D">
            <w:pPr>
              <w:rPr>
                <w:b/>
                <w:sz w:val="18"/>
              </w:rPr>
            </w:pPr>
            <w:r w:rsidRPr="004776EF">
              <w:rPr>
                <w:b/>
                <w:sz w:val="18"/>
              </w:rPr>
              <w:t>embodied energy quantity</w:t>
            </w:r>
          </w:p>
        </w:tc>
        <w:tc>
          <w:tcPr>
            <w:tcW w:w="758" w:type="dxa"/>
            <w:hideMark/>
          </w:tcPr>
          <w:p w:rsidR="0012086D" w:rsidRPr="004776EF" w:rsidRDefault="0012086D">
            <w:pPr>
              <w:rPr>
                <w:b/>
                <w:sz w:val="18"/>
              </w:rPr>
            </w:pPr>
            <w:proofErr w:type="spellStart"/>
            <w:r w:rsidRPr="004776EF">
              <w:rPr>
                <w:b/>
                <w:sz w:val="18"/>
              </w:rPr>
              <w:t>ee</w:t>
            </w:r>
            <w:proofErr w:type="spellEnd"/>
            <w:r w:rsidRPr="004776EF">
              <w:rPr>
                <w:b/>
                <w:sz w:val="18"/>
              </w:rPr>
              <w:t xml:space="preserve"> unit</w:t>
            </w:r>
          </w:p>
        </w:tc>
        <w:tc>
          <w:tcPr>
            <w:tcW w:w="1275" w:type="dxa"/>
            <w:hideMark/>
          </w:tcPr>
          <w:p w:rsidR="0012086D" w:rsidRPr="004776EF" w:rsidRDefault="0012086D">
            <w:pPr>
              <w:rPr>
                <w:b/>
                <w:sz w:val="18"/>
              </w:rPr>
            </w:pPr>
            <w:r w:rsidRPr="004776EF">
              <w:rPr>
                <w:b/>
                <w:sz w:val="18"/>
              </w:rPr>
              <w:t>embodied energy rate (</w:t>
            </w:r>
            <w:proofErr w:type="spellStart"/>
            <w:r w:rsidRPr="004776EF">
              <w:rPr>
                <w:b/>
                <w:sz w:val="18"/>
              </w:rPr>
              <w:t>kWhr</w:t>
            </w:r>
            <w:proofErr w:type="spellEnd"/>
            <w:r w:rsidRPr="004776EF">
              <w:rPr>
                <w:b/>
                <w:sz w:val="18"/>
              </w:rPr>
              <w:t>/unit)</w:t>
            </w:r>
          </w:p>
        </w:tc>
        <w:tc>
          <w:tcPr>
            <w:tcW w:w="1084" w:type="dxa"/>
            <w:hideMark/>
          </w:tcPr>
          <w:p w:rsidR="0012086D" w:rsidRPr="004776EF" w:rsidRDefault="0012086D">
            <w:pPr>
              <w:rPr>
                <w:b/>
                <w:sz w:val="18"/>
              </w:rPr>
            </w:pPr>
            <w:r w:rsidRPr="004776EF">
              <w:rPr>
                <w:b/>
                <w:sz w:val="18"/>
              </w:rPr>
              <w:t>embodied energy (</w:t>
            </w:r>
            <w:proofErr w:type="spellStart"/>
            <w:r w:rsidRPr="004776EF">
              <w:rPr>
                <w:b/>
                <w:sz w:val="18"/>
              </w:rPr>
              <w:t>MWhr</w:t>
            </w:r>
            <w:proofErr w:type="spellEnd"/>
            <w:r w:rsidRPr="004776EF">
              <w:rPr>
                <w:b/>
                <w:sz w:val="18"/>
              </w:rPr>
              <w:t>)</w:t>
            </w:r>
          </w:p>
        </w:tc>
      </w:tr>
      <w:tr w:rsidR="004776EF" w:rsidRPr="0012086D" w:rsidTr="001562D6">
        <w:trPr>
          <w:trHeight w:val="300"/>
        </w:trPr>
        <w:tc>
          <w:tcPr>
            <w:tcW w:w="1270" w:type="dxa"/>
            <w:hideMark/>
          </w:tcPr>
          <w:p w:rsidR="0012086D" w:rsidRPr="004776EF" w:rsidRDefault="0012086D">
            <w:pPr>
              <w:rPr>
                <w:sz w:val="18"/>
              </w:rPr>
            </w:pPr>
            <w:proofErr w:type="spellStart"/>
            <w:r w:rsidRPr="004776EF">
              <w:rPr>
                <w:sz w:val="18"/>
              </w:rPr>
              <w:t>pv</w:t>
            </w:r>
            <w:proofErr w:type="spellEnd"/>
            <w:r w:rsidRPr="004776EF">
              <w:rPr>
                <w:sz w:val="18"/>
              </w:rPr>
              <w:t xml:space="preserve"> system</w:t>
            </w:r>
          </w:p>
        </w:tc>
        <w:tc>
          <w:tcPr>
            <w:tcW w:w="993" w:type="dxa"/>
            <w:noWrap/>
            <w:hideMark/>
          </w:tcPr>
          <w:p w:rsidR="0012086D" w:rsidRPr="004776EF" w:rsidRDefault="0012086D" w:rsidP="0012086D">
            <w:pPr>
              <w:rPr>
                <w:sz w:val="18"/>
              </w:rPr>
            </w:pPr>
            <w:r w:rsidRPr="004776EF">
              <w:rPr>
                <w:sz w:val="18"/>
              </w:rPr>
              <w:t>2700</w:t>
            </w:r>
          </w:p>
        </w:tc>
        <w:tc>
          <w:tcPr>
            <w:tcW w:w="671" w:type="dxa"/>
            <w:noWrap/>
            <w:hideMark/>
          </w:tcPr>
          <w:p w:rsidR="0012086D" w:rsidRPr="004776EF" w:rsidRDefault="0012086D">
            <w:pPr>
              <w:rPr>
                <w:sz w:val="18"/>
              </w:rPr>
            </w:pPr>
            <w:r w:rsidRPr="004776EF">
              <w:rPr>
                <w:sz w:val="18"/>
              </w:rPr>
              <w:t>m2</w:t>
            </w:r>
          </w:p>
        </w:tc>
        <w:tc>
          <w:tcPr>
            <w:tcW w:w="930" w:type="dxa"/>
            <w:noWrap/>
            <w:hideMark/>
          </w:tcPr>
          <w:p w:rsidR="0012086D" w:rsidRPr="004776EF" w:rsidRDefault="0012086D" w:rsidP="0012086D">
            <w:pPr>
              <w:rPr>
                <w:sz w:val="18"/>
              </w:rPr>
            </w:pPr>
            <w:r w:rsidRPr="004776EF">
              <w:rPr>
                <w:sz w:val="18"/>
              </w:rPr>
              <w:t>200</w:t>
            </w:r>
          </w:p>
        </w:tc>
        <w:tc>
          <w:tcPr>
            <w:tcW w:w="1084" w:type="dxa"/>
            <w:noWrap/>
            <w:hideMark/>
          </w:tcPr>
          <w:p w:rsidR="0012086D" w:rsidRPr="004776EF" w:rsidRDefault="0012086D">
            <w:pPr>
              <w:rPr>
                <w:sz w:val="18"/>
              </w:rPr>
            </w:pPr>
            <w:r w:rsidRPr="004776EF">
              <w:rPr>
                <w:sz w:val="18"/>
              </w:rPr>
              <w:t xml:space="preserve">       540,000 </w:t>
            </w:r>
          </w:p>
        </w:tc>
        <w:tc>
          <w:tcPr>
            <w:tcW w:w="1064" w:type="dxa"/>
            <w:noWrap/>
            <w:hideMark/>
          </w:tcPr>
          <w:p w:rsidR="0012086D" w:rsidRPr="004776EF" w:rsidRDefault="0012086D" w:rsidP="0012086D">
            <w:pPr>
              <w:rPr>
                <w:sz w:val="18"/>
              </w:rPr>
            </w:pPr>
            <w:r w:rsidRPr="004776EF">
              <w:rPr>
                <w:sz w:val="18"/>
              </w:rPr>
              <w:t>2700</w:t>
            </w:r>
          </w:p>
        </w:tc>
        <w:tc>
          <w:tcPr>
            <w:tcW w:w="758" w:type="dxa"/>
            <w:noWrap/>
            <w:hideMark/>
          </w:tcPr>
          <w:p w:rsidR="0012086D" w:rsidRPr="004776EF" w:rsidRDefault="0012086D">
            <w:pPr>
              <w:rPr>
                <w:sz w:val="18"/>
              </w:rPr>
            </w:pPr>
            <w:r w:rsidRPr="004776EF">
              <w:rPr>
                <w:sz w:val="18"/>
              </w:rPr>
              <w:t>m2</w:t>
            </w:r>
          </w:p>
        </w:tc>
        <w:tc>
          <w:tcPr>
            <w:tcW w:w="1275" w:type="dxa"/>
            <w:noWrap/>
            <w:hideMark/>
          </w:tcPr>
          <w:p w:rsidR="0012086D" w:rsidRPr="004776EF" w:rsidRDefault="0012086D" w:rsidP="0012086D">
            <w:pPr>
              <w:rPr>
                <w:sz w:val="18"/>
              </w:rPr>
            </w:pPr>
            <w:r w:rsidRPr="004776EF">
              <w:rPr>
                <w:sz w:val="18"/>
              </w:rPr>
              <w:t>190</w:t>
            </w:r>
          </w:p>
        </w:tc>
        <w:tc>
          <w:tcPr>
            <w:tcW w:w="1084" w:type="dxa"/>
            <w:noWrap/>
            <w:hideMark/>
          </w:tcPr>
          <w:p w:rsidR="0012086D" w:rsidRPr="004776EF" w:rsidRDefault="0012086D" w:rsidP="0012086D">
            <w:pPr>
              <w:rPr>
                <w:sz w:val="18"/>
              </w:rPr>
            </w:pPr>
            <w:r w:rsidRPr="004776EF">
              <w:rPr>
                <w:sz w:val="18"/>
              </w:rPr>
              <w:t>513</w:t>
            </w:r>
          </w:p>
        </w:tc>
      </w:tr>
      <w:tr w:rsidR="004776EF" w:rsidRPr="0012086D" w:rsidTr="001562D6">
        <w:trPr>
          <w:trHeight w:val="300"/>
        </w:trPr>
        <w:tc>
          <w:tcPr>
            <w:tcW w:w="1270" w:type="dxa"/>
            <w:hideMark/>
          </w:tcPr>
          <w:p w:rsidR="0012086D" w:rsidRPr="004776EF" w:rsidRDefault="0012086D">
            <w:pPr>
              <w:rPr>
                <w:sz w:val="18"/>
              </w:rPr>
            </w:pPr>
            <w:r w:rsidRPr="004776EF">
              <w:rPr>
                <w:sz w:val="18"/>
              </w:rPr>
              <w:t xml:space="preserve">non </w:t>
            </w:r>
            <w:proofErr w:type="spellStart"/>
            <w:r w:rsidRPr="004776EF">
              <w:rPr>
                <w:sz w:val="18"/>
              </w:rPr>
              <w:t>pv</w:t>
            </w:r>
            <w:proofErr w:type="spellEnd"/>
            <w:r w:rsidRPr="004776EF">
              <w:rPr>
                <w:sz w:val="18"/>
              </w:rPr>
              <w:t xml:space="preserve"> dummy panels</w:t>
            </w:r>
          </w:p>
        </w:tc>
        <w:tc>
          <w:tcPr>
            <w:tcW w:w="993" w:type="dxa"/>
            <w:noWrap/>
            <w:hideMark/>
          </w:tcPr>
          <w:p w:rsidR="0012086D" w:rsidRPr="004776EF" w:rsidRDefault="0012086D" w:rsidP="0012086D">
            <w:pPr>
              <w:rPr>
                <w:sz w:val="18"/>
              </w:rPr>
            </w:pPr>
            <w:r w:rsidRPr="004776EF">
              <w:rPr>
                <w:sz w:val="18"/>
              </w:rPr>
              <w:t>1100</w:t>
            </w:r>
          </w:p>
        </w:tc>
        <w:tc>
          <w:tcPr>
            <w:tcW w:w="671" w:type="dxa"/>
            <w:noWrap/>
            <w:hideMark/>
          </w:tcPr>
          <w:p w:rsidR="0012086D" w:rsidRPr="004776EF" w:rsidRDefault="0012086D">
            <w:pPr>
              <w:rPr>
                <w:sz w:val="18"/>
              </w:rPr>
            </w:pPr>
            <w:r w:rsidRPr="004776EF">
              <w:rPr>
                <w:sz w:val="18"/>
              </w:rPr>
              <w:t>m2</w:t>
            </w:r>
          </w:p>
        </w:tc>
        <w:tc>
          <w:tcPr>
            <w:tcW w:w="930" w:type="dxa"/>
            <w:noWrap/>
            <w:hideMark/>
          </w:tcPr>
          <w:p w:rsidR="0012086D" w:rsidRPr="004776EF" w:rsidRDefault="0012086D" w:rsidP="0012086D">
            <w:pPr>
              <w:rPr>
                <w:sz w:val="18"/>
              </w:rPr>
            </w:pPr>
            <w:r w:rsidRPr="004776EF">
              <w:rPr>
                <w:sz w:val="18"/>
              </w:rPr>
              <w:t>50</w:t>
            </w:r>
          </w:p>
        </w:tc>
        <w:tc>
          <w:tcPr>
            <w:tcW w:w="1084" w:type="dxa"/>
            <w:noWrap/>
            <w:hideMark/>
          </w:tcPr>
          <w:p w:rsidR="0012086D" w:rsidRPr="004776EF" w:rsidRDefault="0012086D">
            <w:pPr>
              <w:rPr>
                <w:sz w:val="18"/>
              </w:rPr>
            </w:pPr>
            <w:r w:rsidRPr="004776EF">
              <w:rPr>
                <w:sz w:val="18"/>
              </w:rPr>
              <w:t xml:space="preserve">         55,000 </w:t>
            </w:r>
          </w:p>
        </w:tc>
        <w:tc>
          <w:tcPr>
            <w:tcW w:w="1064" w:type="dxa"/>
            <w:noWrap/>
            <w:hideMark/>
          </w:tcPr>
          <w:p w:rsidR="0012086D" w:rsidRPr="004776EF" w:rsidRDefault="0012086D" w:rsidP="0012086D">
            <w:pPr>
              <w:rPr>
                <w:sz w:val="18"/>
              </w:rPr>
            </w:pPr>
            <w:r w:rsidRPr="004776EF">
              <w:rPr>
                <w:sz w:val="18"/>
              </w:rPr>
              <w:t>29700</w:t>
            </w:r>
          </w:p>
        </w:tc>
        <w:tc>
          <w:tcPr>
            <w:tcW w:w="758" w:type="dxa"/>
            <w:noWrap/>
            <w:hideMark/>
          </w:tcPr>
          <w:p w:rsidR="0012086D" w:rsidRPr="004776EF" w:rsidRDefault="0012086D">
            <w:pPr>
              <w:rPr>
                <w:sz w:val="18"/>
              </w:rPr>
            </w:pPr>
            <w:r w:rsidRPr="004776EF">
              <w:rPr>
                <w:sz w:val="18"/>
              </w:rPr>
              <w:t>kg</w:t>
            </w:r>
          </w:p>
        </w:tc>
        <w:tc>
          <w:tcPr>
            <w:tcW w:w="1275" w:type="dxa"/>
            <w:noWrap/>
            <w:hideMark/>
          </w:tcPr>
          <w:p w:rsidR="0012086D" w:rsidRPr="004776EF" w:rsidRDefault="0012086D" w:rsidP="0012086D">
            <w:pPr>
              <w:rPr>
                <w:sz w:val="18"/>
              </w:rPr>
            </w:pPr>
            <w:r w:rsidRPr="004776EF">
              <w:rPr>
                <w:sz w:val="18"/>
              </w:rPr>
              <w:t>10</w:t>
            </w:r>
          </w:p>
        </w:tc>
        <w:tc>
          <w:tcPr>
            <w:tcW w:w="1084" w:type="dxa"/>
            <w:noWrap/>
            <w:hideMark/>
          </w:tcPr>
          <w:p w:rsidR="0012086D" w:rsidRPr="004776EF" w:rsidRDefault="0012086D" w:rsidP="0012086D">
            <w:pPr>
              <w:rPr>
                <w:sz w:val="18"/>
              </w:rPr>
            </w:pPr>
            <w:r w:rsidRPr="004776EF">
              <w:rPr>
                <w:sz w:val="18"/>
              </w:rPr>
              <w:t>297</w:t>
            </w:r>
          </w:p>
        </w:tc>
      </w:tr>
      <w:tr w:rsidR="004776EF" w:rsidRPr="0012086D" w:rsidTr="001562D6">
        <w:trPr>
          <w:trHeight w:val="600"/>
        </w:trPr>
        <w:tc>
          <w:tcPr>
            <w:tcW w:w="1270" w:type="dxa"/>
            <w:hideMark/>
          </w:tcPr>
          <w:p w:rsidR="0012086D" w:rsidRPr="004776EF" w:rsidRDefault="0012086D">
            <w:pPr>
              <w:rPr>
                <w:sz w:val="18"/>
              </w:rPr>
            </w:pPr>
            <w:r w:rsidRPr="004776EF">
              <w:rPr>
                <w:sz w:val="18"/>
              </w:rPr>
              <w:t>steel structure and framework</w:t>
            </w:r>
          </w:p>
        </w:tc>
        <w:tc>
          <w:tcPr>
            <w:tcW w:w="993" w:type="dxa"/>
            <w:noWrap/>
            <w:hideMark/>
          </w:tcPr>
          <w:p w:rsidR="0012086D" w:rsidRPr="004776EF" w:rsidRDefault="0012086D" w:rsidP="0012086D">
            <w:pPr>
              <w:rPr>
                <w:sz w:val="18"/>
              </w:rPr>
            </w:pPr>
            <w:r w:rsidRPr="004776EF">
              <w:rPr>
                <w:sz w:val="18"/>
              </w:rPr>
              <w:t>336</w:t>
            </w:r>
          </w:p>
        </w:tc>
        <w:tc>
          <w:tcPr>
            <w:tcW w:w="671" w:type="dxa"/>
            <w:noWrap/>
            <w:hideMark/>
          </w:tcPr>
          <w:p w:rsidR="0012086D" w:rsidRPr="004776EF" w:rsidRDefault="0012086D">
            <w:pPr>
              <w:rPr>
                <w:sz w:val="18"/>
              </w:rPr>
            </w:pPr>
            <w:r w:rsidRPr="004776EF">
              <w:rPr>
                <w:sz w:val="18"/>
              </w:rPr>
              <w:t>tons</w:t>
            </w:r>
          </w:p>
        </w:tc>
        <w:tc>
          <w:tcPr>
            <w:tcW w:w="930" w:type="dxa"/>
            <w:noWrap/>
            <w:hideMark/>
          </w:tcPr>
          <w:p w:rsidR="0012086D" w:rsidRPr="004776EF" w:rsidRDefault="0012086D" w:rsidP="0012086D">
            <w:pPr>
              <w:rPr>
                <w:sz w:val="18"/>
              </w:rPr>
            </w:pPr>
            <w:r w:rsidRPr="004776EF">
              <w:rPr>
                <w:sz w:val="18"/>
              </w:rPr>
              <w:t>3000</w:t>
            </w:r>
          </w:p>
        </w:tc>
        <w:tc>
          <w:tcPr>
            <w:tcW w:w="1084" w:type="dxa"/>
            <w:noWrap/>
            <w:hideMark/>
          </w:tcPr>
          <w:p w:rsidR="0012086D" w:rsidRPr="004776EF" w:rsidRDefault="0012086D">
            <w:pPr>
              <w:rPr>
                <w:sz w:val="18"/>
              </w:rPr>
            </w:pPr>
            <w:r w:rsidRPr="004776EF">
              <w:rPr>
                <w:sz w:val="18"/>
              </w:rPr>
              <w:t xml:space="preserve">   1,008,000 </w:t>
            </w:r>
          </w:p>
        </w:tc>
        <w:tc>
          <w:tcPr>
            <w:tcW w:w="1064" w:type="dxa"/>
            <w:noWrap/>
            <w:hideMark/>
          </w:tcPr>
          <w:p w:rsidR="0012086D" w:rsidRPr="004776EF" w:rsidRDefault="0012086D" w:rsidP="0012086D">
            <w:pPr>
              <w:rPr>
                <w:sz w:val="18"/>
              </w:rPr>
            </w:pPr>
            <w:r w:rsidRPr="004776EF">
              <w:rPr>
                <w:sz w:val="18"/>
              </w:rPr>
              <w:t>336000</w:t>
            </w:r>
          </w:p>
        </w:tc>
        <w:tc>
          <w:tcPr>
            <w:tcW w:w="758" w:type="dxa"/>
            <w:noWrap/>
            <w:hideMark/>
          </w:tcPr>
          <w:p w:rsidR="0012086D" w:rsidRPr="004776EF" w:rsidRDefault="0012086D">
            <w:pPr>
              <w:rPr>
                <w:sz w:val="18"/>
              </w:rPr>
            </w:pPr>
            <w:r w:rsidRPr="004776EF">
              <w:rPr>
                <w:sz w:val="18"/>
              </w:rPr>
              <w:t>kg</w:t>
            </w:r>
          </w:p>
        </w:tc>
        <w:tc>
          <w:tcPr>
            <w:tcW w:w="1275" w:type="dxa"/>
            <w:noWrap/>
            <w:hideMark/>
          </w:tcPr>
          <w:p w:rsidR="0012086D" w:rsidRPr="004776EF" w:rsidRDefault="0012086D" w:rsidP="0012086D">
            <w:pPr>
              <w:rPr>
                <w:sz w:val="18"/>
              </w:rPr>
            </w:pPr>
            <w:r w:rsidRPr="004776EF">
              <w:rPr>
                <w:sz w:val="18"/>
              </w:rPr>
              <w:t>10</w:t>
            </w:r>
          </w:p>
        </w:tc>
        <w:tc>
          <w:tcPr>
            <w:tcW w:w="1084" w:type="dxa"/>
            <w:noWrap/>
            <w:hideMark/>
          </w:tcPr>
          <w:p w:rsidR="0012086D" w:rsidRPr="004776EF" w:rsidRDefault="0012086D" w:rsidP="0012086D">
            <w:pPr>
              <w:rPr>
                <w:sz w:val="18"/>
              </w:rPr>
            </w:pPr>
            <w:r w:rsidRPr="004776EF">
              <w:rPr>
                <w:sz w:val="18"/>
              </w:rPr>
              <w:t>3360</w:t>
            </w:r>
          </w:p>
        </w:tc>
      </w:tr>
      <w:tr w:rsidR="004776EF" w:rsidRPr="0012086D" w:rsidTr="001562D6">
        <w:trPr>
          <w:trHeight w:val="600"/>
        </w:trPr>
        <w:tc>
          <w:tcPr>
            <w:tcW w:w="1270" w:type="dxa"/>
            <w:hideMark/>
          </w:tcPr>
          <w:p w:rsidR="0012086D" w:rsidRPr="004776EF" w:rsidRDefault="0012086D">
            <w:pPr>
              <w:rPr>
                <w:sz w:val="18"/>
              </w:rPr>
            </w:pPr>
            <w:r w:rsidRPr="004776EF">
              <w:rPr>
                <w:sz w:val="18"/>
              </w:rPr>
              <w:t>water storage tank panels (</w:t>
            </w:r>
            <w:proofErr w:type="spellStart"/>
            <w:r w:rsidRPr="004776EF">
              <w:rPr>
                <w:sz w:val="18"/>
              </w:rPr>
              <w:t>GRP</w:t>
            </w:r>
            <w:proofErr w:type="spellEnd"/>
            <w:r w:rsidRPr="004776EF">
              <w:rPr>
                <w:sz w:val="18"/>
              </w:rPr>
              <w:t>)</w:t>
            </w:r>
          </w:p>
        </w:tc>
        <w:tc>
          <w:tcPr>
            <w:tcW w:w="993" w:type="dxa"/>
            <w:noWrap/>
            <w:hideMark/>
          </w:tcPr>
          <w:p w:rsidR="0012086D" w:rsidRPr="004776EF" w:rsidRDefault="0012086D" w:rsidP="0012086D">
            <w:pPr>
              <w:rPr>
                <w:sz w:val="18"/>
              </w:rPr>
            </w:pPr>
            <w:r w:rsidRPr="004776EF">
              <w:rPr>
                <w:sz w:val="18"/>
              </w:rPr>
              <w:t>4600</w:t>
            </w:r>
          </w:p>
        </w:tc>
        <w:tc>
          <w:tcPr>
            <w:tcW w:w="671" w:type="dxa"/>
            <w:noWrap/>
            <w:hideMark/>
          </w:tcPr>
          <w:p w:rsidR="0012086D" w:rsidRPr="004776EF" w:rsidRDefault="0012086D">
            <w:pPr>
              <w:rPr>
                <w:sz w:val="18"/>
              </w:rPr>
            </w:pPr>
            <w:r w:rsidRPr="004776EF">
              <w:rPr>
                <w:sz w:val="18"/>
              </w:rPr>
              <w:t>m2</w:t>
            </w:r>
          </w:p>
        </w:tc>
        <w:tc>
          <w:tcPr>
            <w:tcW w:w="930" w:type="dxa"/>
            <w:noWrap/>
            <w:hideMark/>
          </w:tcPr>
          <w:p w:rsidR="0012086D" w:rsidRPr="004776EF" w:rsidRDefault="0012086D" w:rsidP="0012086D">
            <w:pPr>
              <w:rPr>
                <w:sz w:val="18"/>
              </w:rPr>
            </w:pPr>
            <w:r w:rsidRPr="004776EF">
              <w:rPr>
                <w:sz w:val="18"/>
              </w:rPr>
              <w:t>50</w:t>
            </w:r>
          </w:p>
        </w:tc>
        <w:tc>
          <w:tcPr>
            <w:tcW w:w="1084" w:type="dxa"/>
            <w:noWrap/>
            <w:hideMark/>
          </w:tcPr>
          <w:p w:rsidR="0012086D" w:rsidRPr="004776EF" w:rsidRDefault="0012086D">
            <w:pPr>
              <w:rPr>
                <w:sz w:val="18"/>
              </w:rPr>
            </w:pPr>
            <w:r w:rsidRPr="004776EF">
              <w:rPr>
                <w:sz w:val="18"/>
              </w:rPr>
              <w:t xml:space="preserve">       230,000 </w:t>
            </w:r>
          </w:p>
        </w:tc>
        <w:tc>
          <w:tcPr>
            <w:tcW w:w="1064" w:type="dxa"/>
            <w:noWrap/>
            <w:hideMark/>
          </w:tcPr>
          <w:p w:rsidR="0012086D" w:rsidRPr="004776EF" w:rsidRDefault="0012086D" w:rsidP="0012086D">
            <w:pPr>
              <w:rPr>
                <w:sz w:val="18"/>
              </w:rPr>
            </w:pPr>
            <w:r w:rsidRPr="004776EF">
              <w:rPr>
                <w:sz w:val="18"/>
              </w:rPr>
              <w:t>124200</w:t>
            </w:r>
          </w:p>
        </w:tc>
        <w:tc>
          <w:tcPr>
            <w:tcW w:w="758" w:type="dxa"/>
            <w:noWrap/>
            <w:hideMark/>
          </w:tcPr>
          <w:p w:rsidR="0012086D" w:rsidRPr="004776EF" w:rsidRDefault="0012086D">
            <w:pPr>
              <w:rPr>
                <w:sz w:val="18"/>
              </w:rPr>
            </w:pPr>
            <w:r w:rsidRPr="004776EF">
              <w:rPr>
                <w:sz w:val="18"/>
              </w:rPr>
              <w:t>kg</w:t>
            </w:r>
          </w:p>
        </w:tc>
        <w:tc>
          <w:tcPr>
            <w:tcW w:w="1275" w:type="dxa"/>
            <w:noWrap/>
            <w:hideMark/>
          </w:tcPr>
          <w:p w:rsidR="0012086D" w:rsidRPr="004776EF" w:rsidRDefault="0012086D" w:rsidP="0012086D">
            <w:pPr>
              <w:rPr>
                <w:sz w:val="18"/>
              </w:rPr>
            </w:pPr>
            <w:r w:rsidRPr="004776EF">
              <w:rPr>
                <w:sz w:val="18"/>
              </w:rPr>
              <w:t>10</w:t>
            </w:r>
          </w:p>
        </w:tc>
        <w:tc>
          <w:tcPr>
            <w:tcW w:w="1084" w:type="dxa"/>
            <w:noWrap/>
            <w:hideMark/>
          </w:tcPr>
          <w:p w:rsidR="0012086D" w:rsidRPr="004776EF" w:rsidRDefault="0012086D" w:rsidP="0012086D">
            <w:pPr>
              <w:rPr>
                <w:sz w:val="18"/>
              </w:rPr>
            </w:pPr>
            <w:r w:rsidRPr="004776EF">
              <w:rPr>
                <w:sz w:val="18"/>
              </w:rPr>
              <w:t>1242</w:t>
            </w:r>
          </w:p>
        </w:tc>
      </w:tr>
      <w:tr w:rsidR="004776EF" w:rsidRPr="0012086D" w:rsidTr="001562D6">
        <w:trPr>
          <w:trHeight w:val="600"/>
        </w:trPr>
        <w:tc>
          <w:tcPr>
            <w:tcW w:w="1270" w:type="dxa"/>
            <w:hideMark/>
          </w:tcPr>
          <w:p w:rsidR="0012086D" w:rsidRPr="004776EF" w:rsidRDefault="0012086D">
            <w:pPr>
              <w:rPr>
                <w:sz w:val="18"/>
              </w:rPr>
            </w:pPr>
            <w:r w:rsidRPr="004776EF">
              <w:rPr>
                <w:sz w:val="18"/>
              </w:rPr>
              <w:t>hydro turbines and pumping system</w:t>
            </w:r>
          </w:p>
        </w:tc>
        <w:tc>
          <w:tcPr>
            <w:tcW w:w="993" w:type="dxa"/>
            <w:noWrap/>
            <w:hideMark/>
          </w:tcPr>
          <w:p w:rsidR="0012086D" w:rsidRPr="004776EF" w:rsidRDefault="0012086D" w:rsidP="0012086D">
            <w:pPr>
              <w:rPr>
                <w:sz w:val="18"/>
              </w:rPr>
            </w:pPr>
            <w:r w:rsidRPr="004776EF">
              <w:rPr>
                <w:sz w:val="18"/>
              </w:rPr>
              <w:t>1</w:t>
            </w:r>
          </w:p>
        </w:tc>
        <w:tc>
          <w:tcPr>
            <w:tcW w:w="671" w:type="dxa"/>
            <w:noWrap/>
            <w:hideMark/>
          </w:tcPr>
          <w:p w:rsidR="0012086D" w:rsidRPr="004776EF" w:rsidRDefault="0012086D">
            <w:pPr>
              <w:rPr>
                <w:sz w:val="18"/>
              </w:rPr>
            </w:pPr>
            <w:r w:rsidRPr="004776EF">
              <w:rPr>
                <w:sz w:val="18"/>
              </w:rPr>
              <w:t>item</w:t>
            </w:r>
          </w:p>
        </w:tc>
        <w:tc>
          <w:tcPr>
            <w:tcW w:w="930" w:type="dxa"/>
            <w:noWrap/>
            <w:hideMark/>
          </w:tcPr>
          <w:p w:rsidR="0012086D" w:rsidRPr="004776EF" w:rsidRDefault="0012086D" w:rsidP="0012086D">
            <w:pPr>
              <w:rPr>
                <w:sz w:val="18"/>
              </w:rPr>
            </w:pPr>
            <w:r w:rsidRPr="004776EF">
              <w:rPr>
                <w:sz w:val="18"/>
              </w:rPr>
              <w:t>100000</w:t>
            </w:r>
          </w:p>
        </w:tc>
        <w:tc>
          <w:tcPr>
            <w:tcW w:w="1084" w:type="dxa"/>
            <w:noWrap/>
            <w:hideMark/>
          </w:tcPr>
          <w:p w:rsidR="0012086D" w:rsidRPr="004776EF" w:rsidRDefault="0012086D">
            <w:pPr>
              <w:rPr>
                <w:sz w:val="18"/>
              </w:rPr>
            </w:pPr>
            <w:r w:rsidRPr="004776EF">
              <w:rPr>
                <w:sz w:val="18"/>
              </w:rPr>
              <w:t xml:space="preserve">       100,000 </w:t>
            </w:r>
          </w:p>
        </w:tc>
        <w:tc>
          <w:tcPr>
            <w:tcW w:w="1064" w:type="dxa"/>
            <w:noWrap/>
            <w:hideMark/>
          </w:tcPr>
          <w:p w:rsidR="0012086D" w:rsidRPr="004776EF" w:rsidRDefault="0012086D" w:rsidP="0012086D">
            <w:pPr>
              <w:rPr>
                <w:sz w:val="18"/>
              </w:rPr>
            </w:pPr>
            <w:r w:rsidRPr="004776EF">
              <w:rPr>
                <w:sz w:val="18"/>
              </w:rPr>
              <w:t>1</w:t>
            </w:r>
          </w:p>
        </w:tc>
        <w:tc>
          <w:tcPr>
            <w:tcW w:w="758" w:type="dxa"/>
            <w:noWrap/>
            <w:hideMark/>
          </w:tcPr>
          <w:p w:rsidR="0012086D" w:rsidRPr="004776EF" w:rsidRDefault="0012086D">
            <w:pPr>
              <w:rPr>
                <w:sz w:val="18"/>
              </w:rPr>
            </w:pPr>
            <w:r w:rsidRPr="004776EF">
              <w:rPr>
                <w:sz w:val="18"/>
              </w:rPr>
              <w:t>item</w:t>
            </w:r>
          </w:p>
        </w:tc>
        <w:tc>
          <w:tcPr>
            <w:tcW w:w="1275" w:type="dxa"/>
            <w:noWrap/>
            <w:hideMark/>
          </w:tcPr>
          <w:p w:rsidR="0012086D" w:rsidRPr="004776EF" w:rsidRDefault="0012086D" w:rsidP="0012086D">
            <w:pPr>
              <w:rPr>
                <w:sz w:val="18"/>
              </w:rPr>
            </w:pPr>
            <w:r w:rsidRPr="004776EF">
              <w:rPr>
                <w:sz w:val="18"/>
              </w:rPr>
              <w:t>400000</w:t>
            </w:r>
          </w:p>
        </w:tc>
        <w:tc>
          <w:tcPr>
            <w:tcW w:w="1084" w:type="dxa"/>
            <w:noWrap/>
            <w:hideMark/>
          </w:tcPr>
          <w:p w:rsidR="0012086D" w:rsidRPr="004776EF" w:rsidRDefault="0012086D" w:rsidP="0012086D">
            <w:pPr>
              <w:rPr>
                <w:sz w:val="18"/>
              </w:rPr>
            </w:pPr>
            <w:r w:rsidRPr="004776EF">
              <w:rPr>
                <w:sz w:val="18"/>
              </w:rPr>
              <w:t>400</w:t>
            </w:r>
          </w:p>
        </w:tc>
      </w:tr>
      <w:tr w:rsidR="004776EF" w:rsidRPr="0012086D" w:rsidTr="001562D6">
        <w:trPr>
          <w:trHeight w:val="300"/>
        </w:trPr>
        <w:tc>
          <w:tcPr>
            <w:tcW w:w="1270" w:type="dxa"/>
            <w:hideMark/>
          </w:tcPr>
          <w:p w:rsidR="0012086D" w:rsidRPr="004776EF" w:rsidRDefault="0012086D">
            <w:pPr>
              <w:rPr>
                <w:sz w:val="18"/>
              </w:rPr>
            </w:pPr>
            <w:r w:rsidRPr="004776EF">
              <w:rPr>
                <w:sz w:val="18"/>
              </w:rPr>
              <w:t>lighting and electrics</w:t>
            </w:r>
          </w:p>
        </w:tc>
        <w:tc>
          <w:tcPr>
            <w:tcW w:w="993" w:type="dxa"/>
            <w:noWrap/>
            <w:hideMark/>
          </w:tcPr>
          <w:p w:rsidR="0012086D" w:rsidRPr="004776EF" w:rsidRDefault="0012086D" w:rsidP="0012086D">
            <w:pPr>
              <w:rPr>
                <w:sz w:val="18"/>
              </w:rPr>
            </w:pPr>
            <w:r w:rsidRPr="004776EF">
              <w:rPr>
                <w:sz w:val="18"/>
              </w:rPr>
              <w:t>1</w:t>
            </w:r>
          </w:p>
        </w:tc>
        <w:tc>
          <w:tcPr>
            <w:tcW w:w="671" w:type="dxa"/>
            <w:noWrap/>
            <w:hideMark/>
          </w:tcPr>
          <w:p w:rsidR="0012086D" w:rsidRPr="004776EF" w:rsidRDefault="0012086D">
            <w:pPr>
              <w:rPr>
                <w:sz w:val="18"/>
              </w:rPr>
            </w:pPr>
            <w:r w:rsidRPr="004776EF">
              <w:rPr>
                <w:sz w:val="18"/>
              </w:rPr>
              <w:t>item</w:t>
            </w:r>
          </w:p>
        </w:tc>
        <w:tc>
          <w:tcPr>
            <w:tcW w:w="930" w:type="dxa"/>
            <w:noWrap/>
            <w:hideMark/>
          </w:tcPr>
          <w:p w:rsidR="0012086D" w:rsidRPr="004776EF" w:rsidRDefault="0012086D" w:rsidP="0012086D">
            <w:pPr>
              <w:rPr>
                <w:sz w:val="18"/>
              </w:rPr>
            </w:pPr>
            <w:r w:rsidRPr="004776EF">
              <w:rPr>
                <w:sz w:val="18"/>
              </w:rPr>
              <w:t>100000</w:t>
            </w:r>
          </w:p>
        </w:tc>
        <w:tc>
          <w:tcPr>
            <w:tcW w:w="1084" w:type="dxa"/>
            <w:noWrap/>
            <w:hideMark/>
          </w:tcPr>
          <w:p w:rsidR="0012086D" w:rsidRPr="004776EF" w:rsidRDefault="0012086D">
            <w:pPr>
              <w:rPr>
                <w:sz w:val="18"/>
              </w:rPr>
            </w:pPr>
            <w:r w:rsidRPr="004776EF">
              <w:rPr>
                <w:sz w:val="18"/>
              </w:rPr>
              <w:t xml:space="preserve">       100,000 </w:t>
            </w:r>
          </w:p>
        </w:tc>
        <w:tc>
          <w:tcPr>
            <w:tcW w:w="1064" w:type="dxa"/>
            <w:noWrap/>
            <w:hideMark/>
          </w:tcPr>
          <w:p w:rsidR="0012086D" w:rsidRPr="004776EF" w:rsidRDefault="0012086D" w:rsidP="0012086D">
            <w:pPr>
              <w:rPr>
                <w:sz w:val="18"/>
              </w:rPr>
            </w:pPr>
            <w:r w:rsidRPr="004776EF">
              <w:rPr>
                <w:sz w:val="18"/>
              </w:rPr>
              <w:t>1</w:t>
            </w:r>
          </w:p>
        </w:tc>
        <w:tc>
          <w:tcPr>
            <w:tcW w:w="758" w:type="dxa"/>
            <w:noWrap/>
            <w:hideMark/>
          </w:tcPr>
          <w:p w:rsidR="0012086D" w:rsidRPr="004776EF" w:rsidRDefault="0012086D">
            <w:pPr>
              <w:rPr>
                <w:sz w:val="18"/>
              </w:rPr>
            </w:pPr>
            <w:r w:rsidRPr="004776EF">
              <w:rPr>
                <w:sz w:val="18"/>
              </w:rPr>
              <w:t>item</w:t>
            </w:r>
          </w:p>
        </w:tc>
        <w:tc>
          <w:tcPr>
            <w:tcW w:w="1275" w:type="dxa"/>
            <w:noWrap/>
            <w:hideMark/>
          </w:tcPr>
          <w:p w:rsidR="0012086D" w:rsidRPr="004776EF" w:rsidRDefault="0012086D" w:rsidP="0012086D">
            <w:pPr>
              <w:rPr>
                <w:sz w:val="18"/>
              </w:rPr>
            </w:pPr>
            <w:r w:rsidRPr="004776EF">
              <w:rPr>
                <w:sz w:val="18"/>
              </w:rPr>
              <w:t>150000</w:t>
            </w:r>
          </w:p>
        </w:tc>
        <w:tc>
          <w:tcPr>
            <w:tcW w:w="1084" w:type="dxa"/>
            <w:noWrap/>
            <w:hideMark/>
          </w:tcPr>
          <w:p w:rsidR="0012086D" w:rsidRPr="004776EF" w:rsidRDefault="0012086D" w:rsidP="0012086D">
            <w:pPr>
              <w:rPr>
                <w:sz w:val="18"/>
              </w:rPr>
            </w:pPr>
            <w:r w:rsidRPr="004776EF">
              <w:rPr>
                <w:sz w:val="18"/>
              </w:rPr>
              <w:t>150</w:t>
            </w:r>
          </w:p>
        </w:tc>
      </w:tr>
      <w:tr w:rsidR="004776EF" w:rsidRPr="0012086D" w:rsidTr="001562D6">
        <w:trPr>
          <w:trHeight w:val="600"/>
        </w:trPr>
        <w:tc>
          <w:tcPr>
            <w:tcW w:w="1270" w:type="dxa"/>
            <w:hideMark/>
          </w:tcPr>
          <w:p w:rsidR="0012086D" w:rsidRPr="004776EF" w:rsidRDefault="0012086D">
            <w:pPr>
              <w:rPr>
                <w:sz w:val="18"/>
              </w:rPr>
            </w:pPr>
            <w:r w:rsidRPr="004776EF">
              <w:rPr>
                <w:sz w:val="18"/>
              </w:rPr>
              <w:t>project management and design fees</w:t>
            </w:r>
          </w:p>
        </w:tc>
        <w:tc>
          <w:tcPr>
            <w:tcW w:w="993" w:type="dxa"/>
            <w:noWrap/>
            <w:hideMark/>
          </w:tcPr>
          <w:p w:rsidR="0012086D" w:rsidRPr="004776EF" w:rsidRDefault="0012086D" w:rsidP="0012086D">
            <w:pPr>
              <w:rPr>
                <w:sz w:val="18"/>
              </w:rPr>
            </w:pPr>
            <w:r w:rsidRPr="004776EF">
              <w:rPr>
                <w:sz w:val="18"/>
              </w:rPr>
              <w:t>1</w:t>
            </w:r>
          </w:p>
        </w:tc>
        <w:tc>
          <w:tcPr>
            <w:tcW w:w="671" w:type="dxa"/>
            <w:noWrap/>
            <w:hideMark/>
          </w:tcPr>
          <w:p w:rsidR="0012086D" w:rsidRPr="004776EF" w:rsidRDefault="0012086D">
            <w:pPr>
              <w:rPr>
                <w:sz w:val="18"/>
              </w:rPr>
            </w:pPr>
            <w:r w:rsidRPr="004776EF">
              <w:rPr>
                <w:sz w:val="18"/>
              </w:rPr>
              <w:t>item</w:t>
            </w:r>
          </w:p>
        </w:tc>
        <w:tc>
          <w:tcPr>
            <w:tcW w:w="930" w:type="dxa"/>
            <w:noWrap/>
            <w:hideMark/>
          </w:tcPr>
          <w:p w:rsidR="0012086D" w:rsidRPr="004776EF" w:rsidRDefault="0012086D">
            <w:pPr>
              <w:rPr>
                <w:sz w:val="18"/>
              </w:rPr>
            </w:pPr>
            <w:proofErr w:type="spellStart"/>
            <w:r w:rsidRPr="004776EF">
              <w:rPr>
                <w:sz w:val="18"/>
              </w:rPr>
              <w:t>na</w:t>
            </w:r>
            <w:proofErr w:type="spellEnd"/>
          </w:p>
        </w:tc>
        <w:tc>
          <w:tcPr>
            <w:tcW w:w="1084" w:type="dxa"/>
            <w:noWrap/>
            <w:hideMark/>
          </w:tcPr>
          <w:p w:rsidR="0012086D" w:rsidRPr="004776EF" w:rsidRDefault="0012086D">
            <w:pPr>
              <w:rPr>
                <w:sz w:val="18"/>
              </w:rPr>
            </w:pPr>
            <w:r w:rsidRPr="004776EF">
              <w:rPr>
                <w:sz w:val="18"/>
              </w:rPr>
              <w:t xml:space="preserve">       304,950 </w:t>
            </w:r>
          </w:p>
        </w:tc>
        <w:tc>
          <w:tcPr>
            <w:tcW w:w="1064" w:type="dxa"/>
            <w:noWrap/>
            <w:hideMark/>
          </w:tcPr>
          <w:p w:rsidR="0012086D" w:rsidRPr="004776EF" w:rsidRDefault="0012086D" w:rsidP="0012086D">
            <w:pPr>
              <w:rPr>
                <w:sz w:val="18"/>
              </w:rPr>
            </w:pPr>
            <w:r w:rsidRPr="004776EF">
              <w:rPr>
                <w:sz w:val="18"/>
              </w:rPr>
              <w:t>1</w:t>
            </w:r>
          </w:p>
        </w:tc>
        <w:tc>
          <w:tcPr>
            <w:tcW w:w="758" w:type="dxa"/>
            <w:noWrap/>
            <w:hideMark/>
          </w:tcPr>
          <w:p w:rsidR="0012086D" w:rsidRPr="004776EF" w:rsidRDefault="0012086D">
            <w:pPr>
              <w:rPr>
                <w:sz w:val="18"/>
              </w:rPr>
            </w:pPr>
            <w:r w:rsidRPr="004776EF">
              <w:rPr>
                <w:sz w:val="18"/>
              </w:rPr>
              <w:t>item</w:t>
            </w:r>
          </w:p>
        </w:tc>
        <w:tc>
          <w:tcPr>
            <w:tcW w:w="1275" w:type="dxa"/>
            <w:noWrap/>
            <w:hideMark/>
          </w:tcPr>
          <w:p w:rsidR="0012086D" w:rsidRPr="004776EF" w:rsidRDefault="0012086D" w:rsidP="0012086D">
            <w:pPr>
              <w:rPr>
                <w:sz w:val="18"/>
              </w:rPr>
            </w:pPr>
            <w:r w:rsidRPr="004776EF">
              <w:rPr>
                <w:sz w:val="18"/>
              </w:rPr>
              <w:t>100000</w:t>
            </w:r>
          </w:p>
        </w:tc>
        <w:tc>
          <w:tcPr>
            <w:tcW w:w="1084" w:type="dxa"/>
            <w:noWrap/>
            <w:hideMark/>
          </w:tcPr>
          <w:p w:rsidR="0012086D" w:rsidRPr="004776EF" w:rsidRDefault="0012086D" w:rsidP="0012086D">
            <w:pPr>
              <w:rPr>
                <w:sz w:val="18"/>
              </w:rPr>
            </w:pPr>
            <w:r w:rsidRPr="004776EF">
              <w:rPr>
                <w:sz w:val="18"/>
              </w:rPr>
              <w:t>100</w:t>
            </w:r>
          </w:p>
        </w:tc>
      </w:tr>
      <w:tr w:rsidR="001562D6" w:rsidRPr="0012086D" w:rsidTr="001562D6">
        <w:trPr>
          <w:trHeight w:val="300"/>
        </w:trPr>
        <w:tc>
          <w:tcPr>
            <w:tcW w:w="1270" w:type="dxa"/>
            <w:hideMark/>
          </w:tcPr>
          <w:p w:rsidR="0012086D" w:rsidRPr="004776EF" w:rsidRDefault="0012086D">
            <w:pPr>
              <w:rPr>
                <w:sz w:val="18"/>
              </w:rPr>
            </w:pPr>
          </w:p>
        </w:tc>
        <w:tc>
          <w:tcPr>
            <w:tcW w:w="993" w:type="dxa"/>
            <w:noWrap/>
            <w:hideMark/>
          </w:tcPr>
          <w:p w:rsidR="0012086D" w:rsidRPr="004776EF" w:rsidRDefault="0012086D">
            <w:pPr>
              <w:rPr>
                <w:sz w:val="18"/>
              </w:rPr>
            </w:pPr>
          </w:p>
        </w:tc>
        <w:tc>
          <w:tcPr>
            <w:tcW w:w="671" w:type="dxa"/>
            <w:noWrap/>
            <w:hideMark/>
          </w:tcPr>
          <w:p w:rsidR="0012086D" w:rsidRPr="004776EF" w:rsidRDefault="0012086D">
            <w:pPr>
              <w:rPr>
                <w:sz w:val="18"/>
              </w:rPr>
            </w:pPr>
          </w:p>
        </w:tc>
        <w:tc>
          <w:tcPr>
            <w:tcW w:w="930" w:type="dxa"/>
            <w:noWrap/>
            <w:hideMark/>
          </w:tcPr>
          <w:p w:rsidR="0012086D" w:rsidRPr="004776EF" w:rsidRDefault="0012086D">
            <w:pPr>
              <w:rPr>
                <w:sz w:val="18"/>
              </w:rPr>
            </w:pPr>
          </w:p>
        </w:tc>
        <w:tc>
          <w:tcPr>
            <w:tcW w:w="1084" w:type="dxa"/>
            <w:noWrap/>
            <w:hideMark/>
          </w:tcPr>
          <w:p w:rsidR="0012086D" w:rsidRPr="004776EF" w:rsidRDefault="0012086D">
            <w:pPr>
              <w:rPr>
                <w:sz w:val="18"/>
              </w:rPr>
            </w:pPr>
          </w:p>
        </w:tc>
        <w:tc>
          <w:tcPr>
            <w:tcW w:w="1064" w:type="dxa"/>
            <w:noWrap/>
            <w:hideMark/>
          </w:tcPr>
          <w:p w:rsidR="0012086D" w:rsidRPr="004776EF" w:rsidRDefault="0012086D">
            <w:pPr>
              <w:rPr>
                <w:sz w:val="18"/>
              </w:rPr>
            </w:pPr>
          </w:p>
        </w:tc>
        <w:tc>
          <w:tcPr>
            <w:tcW w:w="758" w:type="dxa"/>
            <w:noWrap/>
            <w:hideMark/>
          </w:tcPr>
          <w:p w:rsidR="0012086D" w:rsidRPr="004776EF" w:rsidRDefault="0012086D">
            <w:pPr>
              <w:rPr>
                <w:sz w:val="18"/>
              </w:rPr>
            </w:pPr>
          </w:p>
        </w:tc>
        <w:tc>
          <w:tcPr>
            <w:tcW w:w="1275" w:type="dxa"/>
            <w:noWrap/>
            <w:hideMark/>
          </w:tcPr>
          <w:p w:rsidR="0012086D" w:rsidRPr="004776EF" w:rsidRDefault="0012086D">
            <w:pPr>
              <w:rPr>
                <w:sz w:val="18"/>
              </w:rPr>
            </w:pPr>
          </w:p>
        </w:tc>
        <w:tc>
          <w:tcPr>
            <w:tcW w:w="1084" w:type="dxa"/>
            <w:noWrap/>
            <w:hideMark/>
          </w:tcPr>
          <w:p w:rsidR="0012086D" w:rsidRPr="004776EF" w:rsidRDefault="0012086D">
            <w:pPr>
              <w:rPr>
                <w:sz w:val="18"/>
              </w:rPr>
            </w:pPr>
          </w:p>
        </w:tc>
      </w:tr>
      <w:tr w:rsidR="001562D6" w:rsidRPr="0012086D" w:rsidTr="001562D6">
        <w:trPr>
          <w:trHeight w:val="300"/>
        </w:trPr>
        <w:tc>
          <w:tcPr>
            <w:tcW w:w="1270" w:type="dxa"/>
            <w:hideMark/>
          </w:tcPr>
          <w:p w:rsidR="0012086D" w:rsidRPr="004776EF" w:rsidRDefault="0012086D">
            <w:pPr>
              <w:rPr>
                <w:sz w:val="18"/>
              </w:rPr>
            </w:pPr>
          </w:p>
        </w:tc>
        <w:tc>
          <w:tcPr>
            <w:tcW w:w="993" w:type="dxa"/>
            <w:noWrap/>
            <w:hideMark/>
          </w:tcPr>
          <w:p w:rsidR="0012086D" w:rsidRPr="004776EF" w:rsidRDefault="0012086D">
            <w:pPr>
              <w:rPr>
                <w:sz w:val="18"/>
              </w:rPr>
            </w:pPr>
          </w:p>
        </w:tc>
        <w:tc>
          <w:tcPr>
            <w:tcW w:w="671" w:type="dxa"/>
            <w:noWrap/>
            <w:hideMark/>
          </w:tcPr>
          <w:p w:rsidR="0012086D" w:rsidRPr="004776EF" w:rsidRDefault="0012086D">
            <w:pPr>
              <w:rPr>
                <w:sz w:val="18"/>
              </w:rPr>
            </w:pPr>
          </w:p>
        </w:tc>
        <w:tc>
          <w:tcPr>
            <w:tcW w:w="930" w:type="dxa"/>
            <w:noWrap/>
            <w:hideMark/>
          </w:tcPr>
          <w:p w:rsidR="0012086D" w:rsidRPr="004776EF" w:rsidRDefault="0012086D">
            <w:pPr>
              <w:rPr>
                <w:b/>
                <w:bCs/>
                <w:sz w:val="18"/>
              </w:rPr>
            </w:pPr>
            <w:r w:rsidRPr="004776EF">
              <w:rPr>
                <w:b/>
                <w:bCs/>
                <w:sz w:val="18"/>
              </w:rPr>
              <w:t>total (£)</w:t>
            </w:r>
          </w:p>
        </w:tc>
        <w:tc>
          <w:tcPr>
            <w:tcW w:w="1084" w:type="dxa"/>
            <w:noWrap/>
            <w:hideMark/>
          </w:tcPr>
          <w:p w:rsidR="0012086D" w:rsidRPr="004776EF" w:rsidRDefault="0012086D">
            <w:pPr>
              <w:rPr>
                <w:b/>
                <w:bCs/>
                <w:sz w:val="18"/>
              </w:rPr>
            </w:pPr>
            <w:r w:rsidRPr="004776EF">
              <w:rPr>
                <w:b/>
                <w:bCs/>
                <w:sz w:val="18"/>
              </w:rPr>
              <w:t xml:space="preserve">   2,337,950 </w:t>
            </w:r>
          </w:p>
        </w:tc>
        <w:tc>
          <w:tcPr>
            <w:tcW w:w="1064" w:type="dxa"/>
            <w:noWrap/>
            <w:hideMark/>
          </w:tcPr>
          <w:p w:rsidR="0012086D" w:rsidRPr="004776EF" w:rsidRDefault="0012086D">
            <w:pPr>
              <w:rPr>
                <w:b/>
                <w:bCs/>
                <w:sz w:val="18"/>
              </w:rPr>
            </w:pPr>
          </w:p>
        </w:tc>
        <w:tc>
          <w:tcPr>
            <w:tcW w:w="758" w:type="dxa"/>
            <w:noWrap/>
            <w:hideMark/>
          </w:tcPr>
          <w:p w:rsidR="0012086D" w:rsidRPr="004776EF" w:rsidRDefault="0012086D">
            <w:pPr>
              <w:rPr>
                <w:b/>
                <w:bCs/>
                <w:sz w:val="18"/>
              </w:rPr>
            </w:pPr>
          </w:p>
        </w:tc>
        <w:tc>
          <w:tcPr>
            <w:tcW w:w="1275" w:type="dxa"/>
            <w:noWrap/>
            <w:hideMark/>
          </w:tcPr>
          <w:p w:rsidR="0012086D" w:rsidRPr="004776EF" w:rsidRDefault="0012086D">
            <w:pPr>
              <w:rPr>
                <w:b/>
                <w:bCs/>
                <w:sz w:val="18"/>
              </w:rPr>
            </w:pPr>
            <w:r w:rsidRPr="004776EF">
              <w:rPr>
                <w:b/>
                <w:bCs/>
                <w:sz w:val="18"/>
              </w:rPr>
              <w:t>total (</w:t>
            </w:r>
            <w:proofErr w:type="spellStart"/>
            <w:r w:rsidRPr="004776EF">
              <w:rPr>
                <w:b/>
                <w:bCs/>
                <w:sz w:val="18"/>
              </w:rPr>
              <w:t>MWhr</w:t>
            </w:r>
            <w:proofErr w:type="spellEnd"/>
            <w:r w:rsidRPr="004776EF">
              <w:rPr>
                <w:b/>
                <w:bCs/>
                <w:sz w:val="18"/>
              </w:rPr>
              <w:t>)</w:t>
            </w:r>
          </w:p>
        </w:tc>
        <w:tc>
          <w:tcPr>
            <w:tcW w:w="1084" w:type="dxa"/>
            <w:noWrap/>
            <w:hideMark/>
          </w:tcPr>
          <w:p w:rsidR="0012086D" w:rsidRPr="004776EF" w:rsidRDefault="0012086D" w:rsidP="0012086D">
            <w:pPr>
              <w:rPr>
                <w:b/>
                <w:bCs/>
                <w:sz w:val="18"/>
              </w:rPr>
            </w:pPr>
            <w:r w:rsidRPr="004776EF">
              <w:rPr>
                <w:b/>
                <w:bCs/>
                <w:sz w:val="18"/>
              </w:rPr>
              <w:t>6062</w:t>
            </w:r>
          </w:p>
        </w:tc>
      </w:tr>
    </w:tbl>
    <w:p w:rsidR="0012086D" w:rsidRDefault="0012086D" w:rsidP="00676E7E"/>
    <w:p w:rsidR="0012086D" w:rsidRDefault="0012086D" w:rsidP="00676E7E">
      <w:bookmarkStart w:id="0" w:name="_GoBack"/>
      <w:bookmarkEnd w:id="0"/>
    </w:p>
    <w:p w:rsidR="0020711C" w:rsidRDefault="0020711C" w:rsidP="0020711C">
      <w:pPr>
        <w:pStyle w:val="Heading2"/>
        <w:numPr>
          <w:ilvl w:val="0"/>
          <w:numId w:val="0"/>
        </w:numPr>
        <w:ind w:left="360" w:hanging="360"/>
      </w:pPr>
      <w:r>
        <w:lastRenderedPageBreak/>
        <w:t>The energy kit</w:t>
      </w:r>
    </w:p>
    <w:p w:rsidR="00DA3F54" w:rsidRDefault="0020711C" w:rsidP="008E638E">
      <w:r>
        <w:t xml:space="preserve">The space frame of the duck is not restricted to a particular type of PV panel. The design can accommodate any manufacturers’ panels. </w:t>
      </w:r>
      <w:r w:rsidR="00AE390A">
        <w:t xml:space="preserve">For this submission we propose </w:t>
      </w:r>
      <w:r w:rsidR="00C53038">
        <w:t xml:space="preserve">the Panasonic HIT panels which are most efficient panels commercially available. </w:t>
      </w:r>
      <w:r w:rsidR="00E001AC">
        <w:t>They do not have the lowest £</w:t>
      </w:r>
      <w:r w:rsidR="00DA3F54">
        <w:t xml:space="preserve">/W cost but we feel in this context the energy benefit is the right choice.  </w:t>
      </w:r>
    </w:p>
    <w:p w:rsidR="00DA3F54" w:rsidRDefault="00DA3F54" w:rsidP="008E638E">
      <w:r>
        <w:t xml:space="preserve">The hydro turbine(s) will be of the high flow rate, low head type. In the proposals shown the water pressure head is 8m. Either Kaplan or Francis turbine types of 100 to 500kW are available in range. </w:t>
      </w:r>
    </w:p>
    <w:p w:rsidR="00DA3F54" w:rsidRDefault="00DA3F54" w:rsidP="008E638E">
      <w:r>
        <w:t>The PV and hydro electrical equipment will all be installed within the body of the duck. A flexible transmission ca</w:t>
      </w:r>
      <w:r w:rsidR="00E20373">
        <w:t>ble will run underwater and o</w:t>
      </w:r>
      <w:r>
        <w:t xml:space="preserve">nto shore into the egg gatehouse </w:t>
      </w:r>
      <w:r w:rsidR="00E20373">
        <w:t xml:space="preserve">where it meets the connection switchgear of the national grid. </w:t>
      </w:r>
    </w:p>
    <w:p w:rsidR="008E638E" w:rsidRDefault="00E001AC" w:rsidP="008E638E">
      <w:r>
        <w:t xml:space="preserve"> </w:t>
      </w:r>
    </w:p>
    <w:p w:rsidR="005138E5" w:rsidRDefault="005138E5" w:rsidP="005138E5">
      <w:pPr>
        <w:pStyle w:val="Heading2"/>
        <w:numPr>
          <w:ilvl w:val="0"/>
          <w:numId w:val="0"/>
        </w:numPr>
        <w:ind w:left="360" w:hanging="360"/>
      </w:pPr>
      <w:r>
        <w:t>Bold but considerate</w:t>
      </w:r>
      <w:r w:rsidR="00794E12">
        <w:t xml:space="preserve"> a</w:t>
      </w:r>
      <w:r>
        <w:t>nd scalable</w:t>
      </w:r>
    </w:p>
    <w:p w:rsidR="005138E5" w:rsidRDefault="005138E5" w:rsidP="005138E5">
      <w:r>
        <w:t>An important part of our proposal is to maximise the energy yield whilst being sensitive to the site.  Large</w:t>
      </w:r>
      <w:r w:rsidR="000C791C">
        <w:t xml:space="preserve"> </w:t>
      </w:r>
      <w:r>
        <w:t xml:space="preserve">scale </w:t>
      </w:r>
      <w:r w:rsidR="000C791C">
        <w:t>w</w:t>
      </w:r>
      <w:r>
        <w:t xml:space="preserve">ind would provide the best energy return on investment but we don’t consider it appropriate for the site. The next best </w:t>
      </w:r>
      <w:proofErr w:type="gramStart"/>
      <w:r>
        <w:t>option are</w:t>
      </w:r>
      <w:proofErr w:type="gramEnd"/>
      <w:r>
        <w:t xml:space="preserve"> PV modules. </w:t>
      </w:r>
      <w:proofErr w:type="gramStart"/>
      <w:r>
        <w:t>Simple, effective and incredibly low maintenance.</w:t>
      </w:r>
      <w:proofErr w:type="gramEnd"/>
      <w:r>
        <w:t xml:space="preserve">  </w:t>
      </w:r>
      <w:r w:rsidR="00794E12">
        <w:t xml:space="preserve">By siting the installation in the water, valuable land remains available for other uses. </w:t>
      </w:r>
    </w:p>
    <w:p w:rsidR="00FD021C" w:rsidRDefault="00794E12" w:rsidP="00FD021C">
      <w:r>
        <w:t>Our team comprises of artist</w:t>
      </w:r>
      <w:r w:rsidR="00C27976">
        <w:t>s</w:t>
      </w:r>
      <w:r>
        <w:t xml:space="preserve">, an architectural practice, a renewable energy systems engineer and a mechanical engineer.  </w:t>
      </w:r>
      <w:r w:rsidR="00FD021C">
        <w:t>A</w:t>
      </w:r>
      <w:r w:rsidR="001E5C08">
        <w:t>n important part of our submission</w:t>
      </w:r>
      <w:r w:rsidR="00FD021C">
        <w:t xml:space="preserve"> is that we feel whilst the proposal is certainly bold it is indeed buildable. </w:t>
      </w:r>
      <w:r w:rsidR="001E5C08">
        <w:t xml:space="preserve"> </w:t>
      </w:r>
      <w:proofErr w:type="gramStart"/>
      <w:r w:rsidR="00FD021C">
        <w:t>Should the proposed duck be deemed somewhat large, no problem.</w:t>
      </w:r>
      <w:proofErr w:type="gramEnd"/>
      <w:r w:rsidR="00FD021C">
        <w:t xml:space="preserve"> Energy duck is completely scalable. A 40m high duck serves a </w:t>
      </w:r>
      <w:proofErr w:type="gramStart"/>
      <w:r w:rsidR="00FD021C">
        <w:t>town,</w:t>
      </w:r>
      <w:proofErr w:type="gramEnd"/>
      <w:r w:rsidR="00FD021C">
        <w:t xml:space="preserve"> a 20m high duck serves a village and a 4m high duck serves and individual house. </w:t>
      </w:r>
    </w:p>
    <w:p w:rsidR="00FD7811" w:rsidRDefault="002D327C" w:rsidP="002D327C">
      <w:pPr>
        <w:pStyle w:val="Heading2"/>
        <w:numPr>
          <w:ilvl w:val="0"/>
          <w:numId w:val="0"/>
        </w:numPr>
        <w:ind w:left="360" w:hanging="360"/>
      </w:pPr>
      <w:r>
        <w:t>Environmental impact assessment</w:t>
      </w:r>
    </w:p>
    <w:p w:rsidR="006B4E2E" w:rsidRDefault="006B4E2E" w:rsidP="006B4E2E">
      <w:r>
        <w:t>The effect to land is negligible since we propose to make hardly any change.</w:t>
      </w:r>
    </w:p>
    <w:p w:rsidR="00614B2C" w:rsidRDefault="00614B2C" w:rsidP="006B4E2E">
      <w:r>
        <w:t xml:space="preserve">There will be no operational pollution to air. There are no liquids other than water stored within the duck. The duck will be made from inert materials so the risk to water is minimal.  </w:t>
      </w:r>
    </w:p>
    <w:p w:rsidR="00BF533B" w:rsidRDefault="00BF533B" w:rsidP="006B4E2E">
      <w:r>
        <w:t>There</w:t>
      </w:r>
      <w:r w:rsidR="006B4E2E">
        <w:t xml:space="preserve"> will need to be a marine biodiversity and habitat survey. The future design will need to respond to this. Possible </w:t>
      </w:r>
      <w:r w:rsidR="00860CCB">
        <w:t xml:space="preserve">mitigations could include </w:t>
      </w:r>
      <w:r>
        <w:t>designing</w:t>
      </w:r>
      <w:r w:rsidR="00860CCB">
        <w:t xml:space="preserve"> the duck </w:t>
      </w:r>
      <w:r>
        <w:t>b</w:t>
      </w:r>
      <w:r w:rsidR="00860CCB">
        <w:t>ase and sides to provide enhanced marine habitat, for example creating mussel beds, a fa</w:t>
      </w:r>
      <w:r>
        <w:t>vourite of the com</w:t>
      </w:r>
      <w:r w:rsidR="00860CCB">
        <w:t>mon eider.</w:t>
      </w:r>
    </w:p>
    <w:p w:rsidR="006B4E2E" w:rsidRPr="006B4E2E" w:rsidRDefault="00BF533B" w:rsidP="006B4E2E">
      <w:r>
        <w:t xml:space="preserve">Blocking light from </w:t>
      </w:r>
      <w:r w:rsidR="00614B2C">
        <w:t>existing</w:t>
      </w:r>
      <w:r>
        <w:t xml:space="preserve"> and future neighbours could be an issue. A light access study will be required to influence the design development. An advantage of the proposed design is that as well as being scalable the duck itself could have a limited range of movement to manage and partially mitigate overshadowing.  </w:t>
      </w:r>
      <w:r w:rsidR="00860CCB">
        <w:t xml:space="preserve"> </w:t>
      </w:r>
      <w:r w:rsidR="006B4E2E">
        <w:t xml:space="preserve"> </w:t>
      </w:r>
    </w:p>
    <w:sectPr w:rsidR="006B4E2E" w:rsidRPr="006B4E2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53A" w:rsidRDefault="003D153A" w:rsidP="00FD7811">
      <w:pPr>
        <w:spacing w:before="0" w:after="0" w:line="240" w:lineRule="auto"/>
      </w:pPr>
      <w:r>
        <w:separator/>
      </w:r>
    </w:p>
  </w:endnote>
  <w:endnote w:type="continuationSeparator" w:id="0">
    <w:p w:rsidR="003D153A" w:rsidRDefault="003D153A" w:rsidP="00FD7811">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53A" w:rsidRDefault="003D153A" w:rsidP="00FD7811">
      <w:pPr>
        <w:spacing w:before="0" w:after="0" w:line="240" w:lineRule="auto"/>
      </w:pPr>
      <w:r>
        <w:separator/>
      </w:r>
    </w:p>
  </w:footnote>
  <w:footnote w:type="continuationSeparator" w:id="0">
    <w:p w:rsidR="003D153A" w:rsidRDefault="003D153A" w:rsidP="00FD7811">
      <w:pPr>
        <w:spacing w:before="0" w:after="0" w:line="240" w:lineRule="auto"/>
      </w:pPr>
      <w:r>
        <w:continuationSeparator/>
      </w:r>
    </w:p>
  </w:footnote>
  <w:footnote w:id="1">
    <w:p w:rsidR="00FD7811" w:rsidRDefault="00FD7811" w:rsidP="00FD7811">
      <w:pPr>
        <w:pStyle w:val="FootnoteText"/>
      </w:pPr>
      <w:r>
        <w:rPr>
          <w:rStyle w:val="FootnoteReference"/>
        </w:rPr>
        <w:footnoteRef/>
      </w:r>
      <w:r>
        <w:t xml:space="preserve"> </w:t>
      </w:r>
      <w:r w:rsidRPr="00FD7811">
        <w:t>Baltic Sea Environment Proceedings No. 140</w:t>
      </w:r>
      <w:r>
        <w:t xml:space="preserve">, </w:t>
      </w:r>
      <w:proofErr w:type="spellStart"/>
      <w:r>
        <w:t>HELCOM</w:t>
      </w:r>
      <w:proofErr w:type="spellEnd"/>
      <w:r>
        <w:t xml:space="preserve"> Red List of Baltic Sea species in danger of becoming extinct. 2013. </w:t>
      </w:r>
      <w:r w:rsidRPr="00FD7811">
        <w:t>Table 7.4.</w:t>
      </w:r>
      <w:r>
        <w:t xml:space="preserve"> </w:t>
      </w:r>
      <w:proofErr w:type="gramStart"/>
      <w:r>
        <w:t>cites</w:t>
      </w:r>
      <w:proofErr w:type="gramEnd"/>
      <w:r>
        <w:t xml:space="preserve"> common eider as “vulnerable” for breeding and “endangered” for wintering.</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8"/>
    <w:multiLevelType w:val="singleLevel"/>
    <w:tmpl w:val="6DD85DAE"/>
    <w:lvl w:ilvl="0">
      <w:start w:val="1"/>
      <w:numFmt w:val="decimal"/>
      <w:pStyle w:val="ListNumber"/>
      <w:lvlText w:val="%1."/>
      <w:lvlJc w:val="left"/>
      <w:pPr>
        <w:tabs>
          <w:tab w:val="num" w:pos="360"/>
        </w:tabs>
        <w:ind w:left="360" w:hanging="360"/>
      </w:pPr>
    </w:lvl>
  </w:abstractNum>
  <w:abstractNum w:abstractNumId="1">
    <w:nsid w:val="FFFFFF89"/>
    <w:multiLevelType w:val="singleLevel"/>
    <w:tmpl w:val="7B749F60"/>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3E8091C"/>
    <w:multiLevelType w:val="hybridMultilevel"/>
    <w:tmpl w:val="99B67DB0"/>
    <w:lvl w:ilvl="0" w:tplc="7B388BB2">
      <w:start w:val="1"/>
      <w:numFmt w:val="decimal"/>
      <w:pStyle w:val="Heading2"/>
      <w:lvlText w:val="%1 "/>
      <w:lvlJc w:val="left"/>
      <w:pPr>
        <w:ind w:left="360" w:hanging="360"/>
      </w:pPr>
      <w:rPr>
        <w:rFonts w:hint="default"/>
        <w:b/>
        <w:i w:val="0"/>
        <w:sz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1"/>
  </w:num>
  <w:num w:numId="4">
    <w:abstractNumId w:val="0"/>
  </w:num>
  <w:num w:numId="5">
    <w:abstractNumId w:val="0"/>
  </w:num>
  <w:num w:numId="6">
    <w:abstractNumId w:val="2"/>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87045"/>
    <w:rsid w:val="000C791C"/>
    <w:rsid w:val="0012086D"/>
    <w:rsid w:val="00133A34"/>
    <w:rsid w:val="001562D6"/>
    <w:rsid w:val="00172B40"/>
    <w:rsid w:val="001755B2"/>
    <w:rsid w:val="001E5C08"/>
    <w:rsid w:val="00205284"/>
    <w:rsid w:val="0020711C"/>
    <w:rsid w:val="00265BAD"/>
    <w:rsid w:val="002D327C"/>
    <w:rsid w:val="00371E91"/>
    <w:rsid w:val="003D153A"/>
    <w:rsid w:val="004776EF"/>
    <w:rsid w:val="005138E5"/>
    <w:rsid w:val="00587045"/>
    <w:rsid w:val="00604060"/>
    <w:rsid w:val="006069CE"/>
    <w:rsid w:val="00614B2C"/>
    <w:rsid w:val="00642AE8"/>
    <w:rsid w:val="00672639"/>
    <w:rsid w:val="00676E7E"/>
    <w:rsid w:val="006B4E2E"/>
    <w:rsid w:val="00710EA6"/>
    <w:rsid w:val="00752B41"/>
    <w:rsid w:val="00794E12"/>
    <w:rsid w:val="007E7AD9"/>
    <w:rsid w:val="00860CCB"/>
    <w:rsid w:val="0089052E"/>
    <w:rsid w:val="008E638E"/>
    <w:rsid w:val="00932660"/>
    <w:rsid w:val="00982451"/>
    <w:rsid w:val="00A367AD"/>
    <w:rsid w:val="00A933C7"/>
    <w:rsid w:val="00AD730C"/>
    <w:rsid w:val="00AE390A"/>
    <w:rsid w:val="00B46B85"/>
    <w:rsid w:val="00B83614"/>
    <w:rsid w:val="00BF533B"/>
    <w:rsid w:val="00C25F54"/>
    <w:rsid w:val="00C27976"/>
    <w:rsid w:val="00C53038"/>
    <w:rsid w:val="00C85C92"/>
    <w:rsid w:val="00CC680B"/>
    <w:rsid w:val="00D00DFD"/>
    <w:rsid w:val="00D7781A"/>
    <w:rsid w:val="00DA3F54"/>
    <w:rsid w:val="00E001AC"/>
    <w:rsid w:val="00E10041"/>
    <w:rsid w:val="00E20373"/>
    <w:rsid w:val="00E71760"/>
    <w:rsid w:val="00EE2948"/>
    <w:rsid w:val="00F16E7B"/>
    <w:rsid w:val="00F84F27"/>
    <w:rsid w:val="00F9275C"/>
    <w:rsid w:val="00FD021C"/>
    <w:rsid w:val="00FD7811"/>
    <w:rsid w:val="00FF5AE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qFormat="1"/>
    <w:lsdException w:name="List Number"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rsid w:val="007E7AD9"/>
    <w:pPr>
      <w:spacing w:before="120" w:after="120" w:line="240" w:lineRule="exact"/>
    </w:pPr>
    <w:rPr>
      <w:sz w:val="20"/>
      <w:szCs w:val="20"/>
    </w:rPr>
  </w:style>
  <w:style w:type="paragraph" w:styleId="Heading1">
    <w:name w:val="heading 1"/>
    <w:basedOn w:val="Normal"/>
    <w:next w:val="Normal"/>
    <w:link w:val="Heading1Char"/>
    <w:uiPriority w:val="9"/>
    <w:qFormat/>
    <w:rsid w:val="00AD730C"/>
    <w:pPr>
      <w:keepNext/>
      <w:keepLines/>
      <w:spacing w:before="0" w:after="480" w:line="280" w:lineRule="exact"/>
      <w:outlineLvl w:val="0"/>
    </w:pPr>
    <w:rPr>
      <w:rFonts w:asciiTheme="majorHAnsi" w:eastAsiaTheme="majorEastAsia" w:hAnsiTheme="majorHAnsi" w:cstheme="majorBidi"/>
      <w:b/>
      <w:bCs/>
      <w:caps/>
      <w:sz w:val="28"/>
      <w:szCs w:val="28"/>
    </w:rPr>
  </w:style>
  <w:style w:type="paragraph" w:styleId="Heading2">
    <w:name w:val="heading 2"/>
    <w:basedOn w:val="Normal"/>
    <w:next w:val="Normal"/>
    <w:link w:val="Heading2Char"/>
    <w:uiPriority w:val="9"/>
    <w:qFormat/>
    <w:rsid w:val="00AD730C"/>
    <w:pPr>
      <w:keepNext/>
      <w:keepLines/>
      <w:numPr>
        <w:numId w:val="6"/>
      </w:numPr>
      <w:spacing w:before="48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qFormat/>
    <w:rsid w:val="007E7AD9"/>
    <w:pPr>
      <w:keepNext/>
      <w:keepLines/>
      <w:spacing w:before="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rsid w:val="007E7AD9"/>
    <w:pPr>
      <w:keepNext/>
      <w:keepLines/>
      <w:spacing w:before="200" w:after="0"/>
      <w:outlineLvl w:val="3"/>
    </w:pPr>
    <w:rPr>
      <w:rFonts w:asciiTheme="majorHAnsi" w:eastAsiaTheme="majorEastAsia" w:hAnsiTheme="majorHAnsi" w:cstheme="majorBidi"/>
      <w:b/>
      <w:bCs/>
      <w:i/>
      <w:iCs/>
      <w:color w:val="00B0D8"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730C"/>
    <w:pPr>
      <w:tabs>
        <w:tab w:val="left" w:pos="0"/>
        <w:tab w:val="left" w:pos="2934"/>
        <w:tab w:val="right" w:pos="9639"/>
      </w:tabs>
      <w:spacing w:before="0" w:after="0" w:line="140" w:lineRule="exact"/>
    </w:pPr>
    <w:rPr>
      <w:sz w:val="12"/>
    </w:rPr>
  </w:style>
  <w:style w:type="character" w:customStyle="1" w:styleId="FooterChar">
    <w:name w:val="Footer Char"/>
    <w:basedOn w:val="DefaultParagraphFont"/>
    <w:link w:val="Footer"/>
    <w:uiPriority w:val="99"/>
    <w:rsid w:val="00AD730C"/>
    <w:rPr>
      <w:sz w:val="12"/>
      <w:szCs w:val="20"/>
    </w:rPr>
  </w:style>
  <w:style w:type="paragraph" w:styleId="Header">
    <w:name w:val="header"/>
    <w:basedOn w:val="Normal"/>
    <w:link w:val="HeaderChar"/>
    <w:uiPriority w:val="99"/>
    <w:rsid w:val="00AD730C"/>
    <w:pPr>
      <w:tabs>
        <w:tab w:val="left" w:pos="0"/>
        <w:tab w:val="left" w:pos="2934"/>
        <w:tab w:val="left" w:pos="5869"/>
      </w:tabs>
      <w:spacing w:before="0" w:after="0" w:line="160" w:lineRule="exact"/>
    </w:pPr>
    <w:rPr>
      <w:sz w:val="16"/>
    </w:rPr>
  </w:style>
  <w:style w:type="character" w:customStyle="1" w:styleId="HeaderChar">
    <w:name w:val="Header Char"/>
    <w:basedOn w:val="DefaultParagraphFont"/>
    <w:link w:val="Header"/>
    <w:uiPriority w:val="99"/>
    <w:rsid w:val="00AD730C"/>
    <w:rPr>
      <w:sz w:val="16"/>
      <w:szCs w:val="20"/>
    </w:rPr>
  </w:style>
  <w:style w:type="character" w:customStyle="1" w:styleId="Heading1Char">
    <w:name w:val="Heading 1 Char"/>
    <w:basedOn w:val="DefaultParagraphFont"/>
    <w:link w:val="Heading1"/>
    <w:uiPriority w:val="9"/>
    <w:rsid w:val="00AD730C"/>
    <w:rPr>
      <w:rFonts w:asciiTheme="majorHAnsi" w:eastAsiaTheme="majorEastAsia" w:hAnsiTheme="majorHAnsi" w:cstheme="majorBidi"/>
      <w:b/>
      <w:bCs/>
      <w:caps/>
      <w:sz w:val="28"/>
      <w:szCs w:val="28"/>
    </w:rPr>
  </w:style>
  <w:style w:type="character" w:customStyle="1" w:styleId="Heading2Char">
    <w:name w:val="Heading 2 Char"/>
    <w:basedOn w:val="DefaultParagraphFont"/>
    <w:link w:val="Heading2"/>
    <w:uiPriority w:val="9"/>
    <w:rsid w:val="00AD730C"/>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7E7AD9"/>
    <w:rPr>
      <w:rFonts w:asciiTheme="majorHAnsi" w:eastAsiaTheme="majorEastAsia" w:hAnsiTheme="majorHAnsi" w:cstheme="majorBidi"/>
      <w:b/>
      <w:bCs/>
      <w:sz w:val="20"/>
      <w:szCs w:val="20"/>
    </w:rPr>
  </w:style>
  <w:style w:type="character" w:styleId="Hyperlink">
    <w:name w:val="Hyperlink"/>
    <w:basedOn w:val="DefaultParagraphFont"/>
    <w:uiPriority w:val="99"/>
    <w:unhideWhenUsed/>
    <w:rsid w:val="00AD730C"/>
    <w:rPr>
      <w:rFonts w:asciiTheme="minorHAnsi" w:hAnsiTheme="minorHAnsi"/>
      <w:color w:val="auto"/>
      <w:u w:val="none"/>
    </w:rPr>
  </w:style>
  <w:style w:type="paragraph" w:styleId="ListBullet">
    <w:name w:val="List Bullet"/>
    <w:basedOn w:val="Normal"/>
    <w:uiPriority w:val="99"/>
    <w:qFormat/>
    <w:rsid w:val="00AD730C"/>
    <w:pPr>
      <w:numPr>
        <w:numId w:val="7"/>
      </w:numPr>
      <w:contextualSpacing/>
    </w:pPr>
  </w:style>
  <w:style w:type="paragraph" w:styleId="ListNumber">
    <w:name w:val="List Number"/>
    <w:basedOn w:val="Normal"/>
    <w:uiPriority w:val="99"/>
    <w:qFormat/>
    <w:rsid w:val="00AD730C"/>
    <w:pPr>
      <w:numPr>
        <w:numId w:val="8"/>
      </w:numPr>
      <w:contextualSpacing/>
    </w:pPr>
  </w:style>
  <w:style w:type="table" w:styleId="TableGrid">
    <w:name w:val="Table Grid"/>
    <w:basedOn w:val="TableNormal"/>
    <w:uiPriority w:val="59"/>
    <w:rsid w:val="00AD730C"/>
    <w:pPr>
      <w:spacing w:before="100" w:beforeAutospacing="1" w:after="100" w:afterAutospacing="1" w:line="240" w:lineRule="exact"/>
    </w:pPr>
    <w:rPr>
      <w:sz w:val="20"/>
      <w:szCs w:val="20"/>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108" w:type="dxa"/>
        <w:bottom w:w="85" w:type="dxa"/>
        <w:right w:w="108" w:type="dxa"/>
      </w:tblCellMar>
    </w:tblPr>
    <w:tblStylePr w:type="firstRow">
      <w:pPr>
        <w:jc w:val="left"/>
      </w:pPr>
      <w:rPr>
        <w:b/>
      </w:rPr>
    </w:tblStylePr>
  </w:style>
  <w:style w:type="character" w:customStyle="1" w:styleId="Heading4Char">
    <w:name w:val="Heading 4 Char"/>
    <w:basedOn w:val="DefaultParagraphFont"/>
    <w:link w:val="Heading4"/>
    <w:uiPriority w:val="9"/>
    <w:semiHidden/>
    <w:rsid w:val="007E7AD9"/>
    <w:rPr>
      <w:rFonts w:asciiTheme="majorHAnsi" w:eastAsiaTheme="majorEastAsia" w:hAnsiTheme="majorHAnsi" w:cstheme="majorBidi"/>
      <w:b/>
      <w:bCs/>
      <w:i/>
      <w:iCs/>
      <w:color w:val="00B0D8" w:themeColor="accent1"/>
      <w:sz w:val="20"/>
      <w:szCs w:val="20"/>
    </w:rPr>
  </w:style>
  <w:style w:type="paragraph" w:styleId="Caption">
    <w:name w:val="caption"/>
    <w:basedOn w:val="Normal"/>
    <w:next w:val="Normal"/>
    <w:uiPriority w:val="35"/>
    <w:qFormat/>
    <w:rsid w:val="007E7AD9"/>
    <w:pPr>
      <w:spacing w:before="0" w:after="0" w:line="140" w:lineRule="exact"/>
    </w:pPr>
    <w:rPr>
      <w:b/>
      <w:bCs/>
      <w:sz w:val="12"/>
      <w:szCs w:val="18"/>
    </w:rPr>
  </w:style>
  <w:style w:type="paragraph" w:styleId="FootnoteText">
    <w:name w:val="footnote text"/>
    <w:basedOn w:val="Normal"/>
    <w:link w:val="FootnoteTextChar"/>
    <w:uiPriority w:val="99"/>
    <w:semiHidden/>
    <w:unhideWhenUsed/>
    <w:rsid w:val="00FD7811"/>
    <w:pPr>
      <w:spacing w:before="0" w:after="0" w:line="240" w:lineRule="auto"/>
    </w:pPr>
  </w:style>
  <w:style w:type="character" w:customStyle="1" w:styleId="FootnoteTextChar">
    <w:name w:val="Footnote Text Char"/>
    <w:basedOn w:val="DefaultParagraphFont"/>
    <w:link w:val="FootnoteText"/>
    <w:uiPriority w:val="99"/>
    <w:semiHidden/>
    <w:rsid w:val="00FD7811"/>
    <w:rPr>
      <w:sz w:val="20"/>
      <w:szCs w:val="20"/>
    </w:rPr>
  </w:style>
  <w:style w:type="character" w:styleId="FootnoteReference">
    <w:name w:val="footnote reference"/>
    <w:basedOn w:val="DefaultParagraphFont"/>
    <w:uiPriority w:val="99"/>
    <w:semiHidden/>
    <w:unhideWhenUsed/>
    <w:rsid w:val="00FD7811"/>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List Bullet" w:qFormat="1"/>
    <w:lsdException w:name="List Number" w:qFormat="1"/>
    <w:lsdException w:name="Title" w:uiPriority="10" w:qFormat="1"/>
    <w:lsdException w:name="Default Paragraph Font" w:uiPriority="1"/>
    <w:lsdException w:name="Subtitle" w:uiPriority="11" w:qFormat="1"/>
    <w:lsdException w:name="Strong" w:uiPriority="22" w:qFormat="1"/>
    <w:lsdException w:name="Emphasis" w:uiPriority="20" w:qFormat="1"/>
    <w:lsdException w:name="Table Grid" w:semiHidden="0" w:uiPriority="59" w:unhideWhenUsed="0"/>
    <w:lsdException w:name="Placeholder Text" w:unhideWhenUsed="0"/>
    <w:lsdException w:name="No Spacing" w:uiPriority="1"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uiPriority="34" w:qFormat="1"/>
    <w:lsdException w:name="Quote" w:uiPriority="29" w:qFormat="1"/>
    <w:lsdException w:name="Intense Quote" w:uiPriority="3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lsdException w:name="TOC Heading" w:uiPriority="39" w:qFormat="1"/>
  </w:latentStyles>
  <w:style w:type="paragraph" w:default="1" w:styleId="Normal">
    <w:name w:val="Normal"/>
    <w:unhideWhenUsed/>
    <w:qFormat/>
    <w:rsid w:val="007E7AD9"/>
    <w:pPr>
      <w:spacing w:before="120" w:after="120" w:line="240" w:lineRule="exact"/>
    </w:pPr>
    <w:rPr>
      <w:sz w:val="20"/>
      <w:szCs w:val="20"/>
    </w:rPr>
  </w:style>
  <w:style w:type="paragraph" w:styleId="Heading1">
    <w:name w:val="heading 1"/>
    <w:basedOn w:val="Normal"/>
    <w:next w:val="Normal"/>
    <w:link w:val="Heading1Char"/>
    <w:uiPriority w:val="9"/>
    <w:qFormat/>
    <w:rsid w:val="00AD730C"/>
    <w:pPr>
      <w:keepNext/>
      <w:keepLines/>
      <w:spacing w:before="0" w:after="480" w:line="280" w:lineRule="exact"/>
      <w:outlineLvl w:val="0"/>
    </w:pPr>
    <w:rPr>
      <w:rFonts w:asciiTheme="majorHAnsi" w:eastAsiaTheme="majorEastAsia" w:hAnsiTheme="majorHAnsi" w:cstheme="majorBidi"/>
      <w:b/>
      <w:bCs/>
      <w:caps/>
      <w:sz w:val="28"/>
      <w:szCs w:val="28"/>
    </w:rPr>
  </w:style>
  <w:style w:type="paragraph" w:styleId="Heading2">
    <w:name w:val="heading 2"/>
    <w:basedOn w:val="Normal"/>
    <w:next w:val="Normal"/>
    <w:link w:val="Heading2Char"/>
    <w:uiPriority w:val="9"/>
    <w:qFormat/>
    <w:rsid w:val="00AD730C"/>
    <w:pPr>
      <w:keepNext/>
      <w:keepLines/>
      <w:numPr>
        <w:numId w:val="6"/>
      </w:numPr>
      <w:spacing w:before="480"/>
      <w:outlineLvl w:val="1"/>
    </w:pPr>
    <w:rPr>
      <w:rFonts w:asciiTheme="majorHAnsi" w:eastAsiaTheme="majorEastAsia" w:hAnsiTheme="majorHAnsi" w:cstheme="majorBidi"/>
      <w:b/>
      <w:bCs/>
      <w:sz w:val="24"/>
      <w:szCs w:val="26"/>
    </w:rPr>
  </w:style>
  <w:style w:type="paragraph" w:styleId="Heading3">
    <w:name w:val="heading 3"/>
    <w:basedOn w:val="Normal"/>
    <w:next w:val="Normal"/>
    <w:link w:val="Heading3Char"/>
    <w:uiPriority w:val="9"/>
    <w:qFormat/>
    <w:rsid w:val="007E7AD9"/>
    <w:pPr>
      <w:keepNext/>
      <w:keepLines/>
      <w:spacing w:before="0" w:after="0"/>
      <w:outlineLvl w:val="2"/>
    </w:pPr>
    <w:rPr>
      <w:rFonts w:asciiTheme="majorHAnsi" w:eastAsiaTheme="majorEastAsia" w:hAnsiTheme="majorHAnsi" w:cstheme="majorBidi"/>
      <w:b/>
      <w:bCs/>
    </w:rPr>
  </w:style>
  <w:style w:type="paragraph" w:styleId="Heading4">
    <w:name w:val="heading 4"/>
    <w:basedOn w:val="Normal"/>
    <w:next w:val="Normal"/>
    <w:link w:val="Heading4Char"/>
    <w:uiPriority w:val="9"/>
    <w:semiHidden/>
    <w:rsid w:val="007E7AD9"/>
    <w:pPr>
      <w:keepNext/>
      <w:keepLines/>
      <w:spacing w:before="200" w:after="0"/>
      <w:outlineLvl w:val="3"/>
    </w:pPr>
    <w:rPr>
      <w:rFonts w:asciiTheme="majorHAnsi" w:eastAsiaTheme="majorEastAsia" w:hAnsiTheme="majorHAnsi" w:cstheme="majorBidi"/>
      <w:b/>
      <w:bCs/>
      <w:i/>
      <w:iCs/>
      <w:color w:val="00B0D8" w:themeColor="accent1"/>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AD730C"/>
    <w:pPr>
      <w:tabs>
        <w:tab w:val="left" w:pos="0"/>
        <w:tab w:val="left" w:pos="2934"/>
        <w:tab w:val="right" w:pos="9639"/>
      </w:tabs>
      <w:spacing w:before="0" w:after="0" w:line="140" w:lineRule="exact"/>
    </w:pPr>
    <w:rPr>
      <w:sz w:val="12"/>
    </w:rPr>
  </w:style>
  <w:style w:type="character" w:customStyle="1" w:styleId="FooterChar">
    <w:name w:val="Footer Char"/>
    <w:basedOn w:val="DefaultParagraphFont"/>
    <w:link w:val="Footer"/>
    <w:uiPriority w:val="99"/>
    <w:rsid w:val="00AD730C"/>
    <w:rPr>
      <w:sz w:val="12"/>
      <w:szCs w:val="20"/>
    </w:rPr>
  </w:style>
  <w:style w:type="paragraph" w:styleId="Header">
    <w:name w:val="header"/>
    <w:basedOn w:val="Normal"/>
    <w:link w:val="HeaderChar"/>
    <w:uiPriority w:val="99"/>
    <w:rsid w:val="00AD730C"/>
    <w:pPr>
      <w:tabs>
        <w:tab w:val="left" w:pos="0"/>
        <w:tab w:val="left" w:pos="2934"/>
        <w:tab w:val="left" w:pos="5869"/>
      </w:tabs>
      <w:spacing w:before="0" w:after="0" w:line="160" w:lineRule="exact"/>
    </w:pPr>
    <w:rPr>
      <w:sz w:val="16"/>
    </w:rPr>
  </w:style>
  <w:style w:type="character" w:customStyle="1" w:styleId="HeaderChar">
    <w:name w:val="Header Char"/>
    <w:basedOn w:val="DefaultParagraphFont"/>
    <w:link w:val="Header"/>
    <w:uiPriority w:val="99"/>
    <w:rsid w:val="00AD730C"/>
    <w:rPr>
      <w:sz w:val="16"/>
      <w:szCs w:val="20"/>
    </w:rPr>
  </w:style>
  <w:style w:type="character" w:customStyle="1" w:styleId="Heading1Char">
    <w:name w:val="Heading 1 Char"/>
    <w:basedOn w:val="DefaultParagraphFont"/>
    <w:link w:val="Heading1"/>
    <w:uiPriority w:val="9"/>
    <w:rsid w:val="00AD730C"/>
    <w:rPr>
      <w:rFonts w:asciiTheme="majorHAnsi" w:eastAsiaTheme="majorEastAsia" w:hAnsiTheme="majorHAnsi" w:cstheme="majorBidi"/>
      <w:b/>
      <w:bCs/>
      <w:caps/>
      <w:sz w:val="28"/>
      <w:szCs w:val="28"/>
    </w:rPr>
  </w:style>
  <w:style w:type="character" w:customStyle="1" w:styleId="Heading2Char">
    <w:name w:val="Heading 2 Char"/>
    <w:basedOn w:val="DefaultParagraphFont"/>
    <w:link w:val="Heading2"/>
    <w:uiPriority w:val="9"/>
    <w:rsid w:val="00AD730C"/>
    <w:rPr>
      <w:rFonts w:asciiTheme="majorHAnsi" w:eastAsiaTheme="majorEastAsia" w:hAnsiTheme="majorHAnsi" w:cstheme="majorBidi"/>
      <w:b/>
      <w:bCs/>
      <w:sz w:val="24"/>
      <w:szCs w:val="26"/>
    </w:rPr>
  </w:style>
  <w:style w:type="character" w:customStyle="1" w:styleId="Heading3Char">
    <w:name w:val="Heading 3 Char"/>
    <w:basedOn w:val="DefaultParagraphFont"/>
    <w:link w:val="Heading3"/>
    <w:uiPriority w:val="9"/>
    <w:rsid w:val="007E7AD9"/>
    <w:rPr>
      <w:rFonts w:asciiTheme="majorHAnsi" w:eastAsiaTheme="majorEastAsia" w:hAnsiTheme="majorHAnsi" w:cstheme="majorBidi"/>
      <w:b/>
      <w:bCs/>
      <w:sz w:val="20"/>
      <w:szCs w:val="20"/>
    </w:rPr>
  </w:style>
  <w:style w:type="character" w:styleId="Hyperlink">
    <w:name w:val="Hyperlink"/>
    <w:basedOn w:val="DefaultParagraphFont"/>
    <w:uiPriority w:val="99"/>
    <w:unhideWhenUsed/>
    <w:rsid w:val="00AD730C"/>
    <w:rPr>
      <w:rFonts w:asciiTheme="minorHAnsi" w:hAnsiTheme="minorHAnsi"/>
      <w:color w:val="auto"/>
      <w:u w:val="none"/>
    </w:rPr>
  </w:style>
  <w:style w:type="paragraph" w:styleId="ListBullet">
    <w:name w:val="List Bullet"/>
    <w:basedOn w:val="Normal"/>
    <w:uiPriority w:val="99"/>
    <w:qFormat/>
    <w:rsid w:val="00AD730C"/>
    <w:pPr>
      <w:numPr>
        <w:numId w:val="7"/>
      </w:numPr>
      <w:contextualSpacing/>
    </w:pPr>
  </w:style>
  <w:style w:type="paragraph" w:styleId="ListNumber">
    <w:name w:val="List Number"/>
    <w:basedOn w:val="Normal"/>
    <w:uiPriority w:val="99"/>
    <w:qFormat/>
    <w:rsid w:val="00AD730C"/>
    <w:pPr>
      <w:numPr>
        <w:numId w:val="8"/>
      </w:numPr>
      <w:contextualSpacing/>
    </w:pPr>
  </w:style>
  <w:style w:type="table" w:styleId="TableGrid">
    <w:name w:val="Table Grid"/>
    <w:basedOn w:val="TableNormal"/>
    <w:uiPriority w:val="59"/>
    <w:rsid w:val="00AD730C"/>
    <w:pPr>
      <w:spacing w:before="100" w:beforeAutospacing="1" w:after="100" w:afterAutospacing="1" w:line="240" w:lineRule="exact"/>
    </w:pPr>
    <w:rPr>
      <w:sz w:val="20"/>
      <w:szCs w:val="20"/>
    </w:rPr>
    <w:tblPr>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85" w:type="dxa"/>
        <w:left w:w="108" w:type="dxa"/>
        <w:bottom w:w="85" w:type="dxa"/>
        <w:right w:w="108" w:type="dxa"/>
      </w:tblCellMar>
    </w:tblPr>
    <w:tblStylePr w:type="firstRow">
      <w:pPr>
        <w:jc w:val="left"/>
      </w:pPr>
      <w:rPr>
        <w:b/>
      </w:rPr>
    </w:tblStylePr>
  </w:style>
  <w:style w:type="character" w:customStyle="1" w:styleId="Heading4Char">
    <w:name w:val="Heading 4 Char"/>
    <w:basedOn w:val="DefaultParagraphFont"/>
    <w:link w:val="Heading4"/>
    <w:uiPriority w:val="9"/>
    <w:semiHidden/>
    <w:rsid w:val="007E7AD9"/>
    <w:rPr>
      <w:rFonts w:asciiTheme="majorHAnsi" w:eastAsiaTheme="majorEastAsia" w:hAnsiTheme="majorHAnsi" w:cstheme="majorBidi"/>
      <w:b/>
      <w:bCs/>
      <w:i/>
      <w:iCs/>
      <w:color w:val="00B0D8" w:themeColor="accent1"/>
      <w:sz w:val="20"/>
      <w:szCs w:val="20"/>
    </w:rPr>
  </w:style>
  <w:style w:type="paragraph" w:styleId="Caption">
    <w:name w:val="caption"/>
    <w:basedOn w:val="Normal"/>
    <w:next w:val="Normal"/>
    <w:uiPriority w:val="35"/>
    <w:qFormat/>
    <w:rsid w:val="007E7AD9"/>
    <w:pPr>
      <w:spacing w:before="0" w:after="0" w:line="140" w:lineRule="exact"/>
    </w:pPr>
    <w:rPr>
      <w:b/>
      <w:bCs/>
      <w:sz w:val="12"/>
      <w:szCs w:val="18"/>
    </w:rPr>
  </w:style>
  <w:style w:type="paragraph" w:styleId="FootnoteText">
    <w:name w:val="footnote text"/>
    <w:basedOn w:val="Normal"/>
    <w:link w:val="FootnoteTextChar"/>
    <w:uiPriority w:val="99"/>
    <w:semiHidden/>
    <w:unhideWhenUsed/>
    <w:rsid w:val="00FD7811"/>
    <w:pPr>
      <w:spacing w:before="0" w:after="0" w:line="240" w:lineRule="auto"/>
    </w:pPr>
  </w:style>
  <w:style w:type="character" w:customStyle="1" w:styleId="FootnoteTextChar">
    <w:name w:val="Footnote Text Char"/>
    <w:basedOn w:val="DefaultParagraphFont"/>
    <w:link w:val="FootnoteText"/>
    <w:uiPriority w:val="99"/>
    <w:semiHidden/>
    <w:rsid w:val="00FD7811"/>
    <w:rPr>
      <w:sz w:val="20"/>
      <w:szCs w:val="20"/>
    </w:rPr>
  </w:style>
  <w:style w:type="character" w:styleId="FootnoteReference">
    <w:name w:val="footnote reference"/>
    <w:basedOn w:val="DefaultParagraphFont"/>
    <w:uiPriority w:val="99"/>
    <w:semiHidden/>
    <w:unhideWhenUsed/>
    <w:rsid w:val="00FD7811"/>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7972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MFLLP">
  <a:themeElements>
    <a:clrScheme name="MFLLP">
      <a:dk1>
        <a:sysClr val="windowText" lastClr="000000"/>
      </a:dk1>
      <a:lt1>
        <a:sysClr val="window" lastClr="FFFFFF"/>
      </a:lt1>
      <a:dk2>
        <a:srgbClr val="0039A6"/>
      </a:dk2>
      <a:lt2>
        <a:srgbClr val="D8D8D8"/>
      </a:lt2>
      <a:accent1>
        <a:srgbClr val="00B0D8"/>
      </a:accent1>
      <a:accent2>
        <a:srgbClr val="5ADB3C"/>
      </a:accent2>
      <a:accent3>
        <a:srgbClr val="FFE818"/>
      </a:accent3>
      <a:accent4>
        <a:srgbClr val="FF9338"/>
      </a:accent4>
      <a:accent5>
        <a:srgbClr val="FF0093"/>
      </a:accent5>
      <a:accent6>
        <a:srgbClr val="FF7247"/>
      </a:accent6>
      <a:hlink>
        <a:srgbClr val="0000FF"/>
      </a:hlink>
      <a:folHlink>
        <a:srgbClr val="800080"/>
      </a:folHlink>
    </a:clrScheme>
    <a:fontScheme name="MFLLP">
      <a:majorFont>
        <a:latin typeface="Calibri"/>
        <a:ea typeface=""/>
        <a:cs typeface=""/>
      </a:majorFont>
      <a:minorFont>
        <a:latin typeface="Calibri"/>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69DFDFF-66BE-4DC7-AA71-3EF3F1A987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1400</Words>
  <Characters>6863</Characters>
  <Application>Microsoft Office Word</Application>
  <DocSecurity>0</DocSecurity>
  <Lines>214</Lines>
  <Paragraphs>127</Paragraphs>
  <ScaleCrop>false</ScaleCrop>
  <HeadingPairs>
    <vt:vector size="2" baseType="variant">
      <vt:variant>
        <vt:lpstr>Title</vt:lpstr>
      </vt:variant>
      <vt:variant>
        <vt:i4>1</vt:i4>
      </vt:variant>
    </vt:vector>
  </HeadingPairs>
  <TitlesOfParts>
    <vt:vector size="1" baseType="lpstr">
      <vt:lpstr/>
    </vt:vector>
  </TitlesOfParts>
  <Company>Max Fordham LLP</Company>
  <LinksUpToDate>false</LinksUpToDate>
  <CharactersWithSpaces>8136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Hareth Pochee</dc:creator>
  <cp:lastModifiedBy>Hareth Pochee</cp:lastModifiedBy>
  <cp:revision>2</cp:revision>
  <dcterms:created xsi:type="dcterms:W3CDTF">2014-05-19T11:35:00Z</dcterms:created>
  <dcterms:modified xsi:type="dcterms:W3CDTF">2014-05-19T11:35:00Z</dcterms:modified>
</cp:coreProperties>
</file>